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DE8A">
      <w:pPr>
        <w:widowControl/>
        <w:jc w:val="left"/>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附件3</w:t>
      </w:r>
    </w:p>
    <w:p w14:paraId="30FFB589">
      <w:pPr>
        <w:spacing w:beforeLines="50"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第三届全国大学生职业规划大赛校赛</w:t>
      </w:r>
    </w:p>
    <w:p w14:paraId="25A2FC75">
      <w:pPr>
        <w:spacing w:beforeLines="50"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暨东北大学第五届职业生涯挑战赛</w:t>
      </w:r>
    </w:p>
    <w:p w14:paraId="47324696">
      <w:pPr>
        <w:spacing w:beforeLines="50" w:line="560" w:lineRule="exact"/>
        <w:jc w:val="center"/>
        <w:rPr>
          <w:rFonts w:ascii="Times New Roman" w:hAnsi="Times New Roman" w:eastAsia="方正小标宋简体" w:cs="Times New Roman"/>
          <w:sz w:val="36"/>
          <w:szCs w:val="36"/>
          <w:highlight w:val="yellow"/>
        </w:rPr>
      </w:pPr>
      <w:r>
        <w:rPr>
          <w:rFonts w:hint="eastAsia" w:ascii="Times New Roman" w:hAnsi="Times New Roman" w:eastAsia="方正小标宋简体" w:cs="Times New Roman"/>
          <w:sz w:val="36"/>
          <w:szCs w:val="36"/>
        </w:rPr>
        <w:t>课程教学赛道方案</w:t>
      </w:r>
    </w:p>
    <w:p w14:paraId="080E327E">
      <w:pPr>
        <w:spacing w:line="560" w:lineRule="exact"/>
        <w:ind w:right="1680" w:rightChars="800"/>
        <w:rPr>
          <w:rFonts w:ascii="Times New Roman" w:hAnsi="Times New Roman" w:eastAsia="仿宋" w:cs="Times New Roman"/>
          <w:color w:val="000000"/>
          <w:sz w:val="30"/>
          <w:szCs w:val="30"/>
        </w:rPr>
      </w:pPr>
    </w:p>
    <w:p w14:paraId="51268309">
      <w:pPr>
        <w:adjustRightInd w:val="0"/>
        <w:snapToGrid w:val="0"/>
        <w:spacing w:line="510" w:lineRule="exact"/>
        <w:ind w:firstLine="600" w:firstLineChars="200"/>
        <w:outlineLvl w:val="0"/>
        <w:rPr>
          <w:rFonts w:ascii="Times New Roman" w:hAnsi="Times New Roman" w:eastAsia="黑体" w:cs="黑体"/>
          <w:sz w:val="30"/>
          <w:szCs w:val="30"/>
        </w:rPr>
      </w:pPr>
      <w:r>
        <w:rPr>
          <w:rFonts w:hint="eastAsia" w:ascii="Times New Roman" w:hAnsi="Times New Roman" w:eastAsia="黑体" w:cs="黑体"/>
          <w:sz w:val="30"/>
          <w:szCs w:val="30"/>
        </w:rPr>
        <w:t>一、比赛内容</w:t>
      </w:r>
    </w:p>
    <w:p w14:paraId="13CD890A">
      <w:pPr>
        <w:adjustRightInd w:val="0"/>
        <w:snapToGrid w:val="0"/>
        <w:spacing w:line="510"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围绕落实立德树人根本任务、促进高质量充分就业，考察我校面向国家社会发展需要和学生全面发展需求开设的大学生职业发展与就业指导课程建设情况、改革创新和实施效果，以及授课教师教学水平。</w:t>
      </w:r>
    </w:p>
    <w:p w14:paraId="385CC854">
      <w:pPr>
        <w:adjustRightInd w:val="0"/>
        <w:snapToGrid w:val="0"/>
        <w:spacing w:line="510" w:lineRule="exact"/>
        <w:ind w:firstLine="600" w:firstLineChars="200"/>
        <w:outlineLvl w:val="0"/>
        <w:rPr>
          <w:rFonts w:ascii="Times New Roman" w:hAnsi="Times New Roman" w:eastAsia="黑体" w:cs="黑体"/>
          <w:sz w:val="30"/>
          <w:szCs w:val="30"/>
        </w:rPr>
      </w:pPr>
      <w:r>
        <w:rPr>
          <w:rFonts w:hint="eastAsia" w:ascii="Times New Roman" w:hAnsi="Times New Roman" w:eastAsia="黑体" w:cs="黑体"/>
          <w:sz w:val="30"/>
          <w:szCs w:val="30"/>
        </w:rPr>
        <w:t>二、参赛对象</w:t>
      </w:r>
    </w:p>
    <w:p w14:paraId="371C6332">
      <w:pPr>
        <w:adjustRightInd w:val="0"/>
        <w:snapToGrid w:val="0"/>
        <w:spacing w:line="510"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我校开设的大学生职业发展与就业指导类课程（不含创新创业类课程和相关专业类课程）主讲教师（我校在编或正式聘用人员）。主要面向</w:t>
      </w:r>
      <w:r>
        <w:rPr>
          <w:rFonts w:hint="eastAsia" w:ascii="Times New Roman" w:hAnsi="Times New Roman" w:eastAsia="仿宋_GB2312" w:cs="Times New Roman"/>
          <w:sz w:val="30"/>
          <w:szCs w:val="30"/>
        </w:rPr>
        <w:t>必修课程，有特色的选修课程也可参赛，参赛</w:t>
      </w:r>
      <w:r>
        <w:rPr>
          <w:rFonts w:hint="eastAsia" w:ascii="Times New Roman" w:hAnsi="Times New Roman" w:eastAsia="仿宋_GB2312" w:cs="仿宋_GB2312"/>
          <w:sz w:val="30"/>
          <w:szCs w:val="30"/>
        </w:rPr>
        <w:t>课程近3年需至少开设2轮。</w:t>
      </w:r>
    </w:p>
    <w:p w14:paraId="195C4252">
      <w:pPr>
        <w:adjustRightInd w:val="0"/>
        <w:snapToGrid w:val="0"/>
        <w:spacing w:line="510" w:lineRule="exact"/>
        <w:ind w:firstLine="600" w:firstLineChars="200"/>
        <w:outlineLvl w:val="0"/>
        <w:rPr>
          <w:rFonts w:ascii="Times New Roman" w:hAnsi="Times New Roman" w:eastAsia="黑体" w:cs="黑体"/>
          <w:sz w:val="30"/>
          <w:szCs w:val="30"/>
        </w:rPr>
      </w:pPr>
      <w:r>
        <w:rPr>
          <w:rFonts w:hint="eastAsia" w:ascii="Times New Roman" w:hAnsi="Times New Roman" w:eastAsia="黑体" w:cs="黑体"/>
          <w:sz w:val="30"/>
          <w:szCs w:val="30"/>
        </w:rPr>
        <w:t>三、参赛材料要求</w:t>
      </w:r>
    </w:p>
    <w:p w14:paraId="46E2A5F4">
      <w:pPr>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（一）课程教学赛道参赛申报表。包括课程概述、课程目标、课程团队、特色创新点等方面内容。</w:t>
      </w:r>
    </w:p>
    <w:p w14:paraId="52E00DF8">
      <w:pPr>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（二）课程支撑材料。包括课程教案、评教结果及其他证明材料（合并成单个PDF格式文件，不超过30MB）。</w:t>
      </w:r>
    </w:p>
    <w:p w14:paraId="2286784A">
      <w:pPr>
        <w:wordWrap w:val="0"/>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（三）课程建设情况汇报视频6分钟，5个教学节段展示视频（无生授课模式）各10分钟，MP4格式，图像清晰稳定，声音清楚，分辨率720P，单个视频文件大小不超过500MB。</w:t>
      </w:r>
    </w:p>
    <w:p w14:paraId="12D63409">
      <w:pPr>
        <w:wordWrap w:val="0"/>
        <w:adjustRightInd w:val="0"/>
        <w:snapToGrid w:val="0"/>
        <w:spacing w:line="510" w:lineRule="exact"/>
        <w:ind w:firstLine="600" w:firstLineChars="200"/>
        <w:rPr>
          <w:rFonts w:ascii="Times New Roman" w:hAnsi="Times New Roman" w:eastAsia="仿宋_GB2312" w:cs="Times New Roman"/>
          <w:sz w:val="30"/>
          <w:szCs w:val="30"/>
          <w:highlight w:val="yellow"/>
        </w:rPr>
      </w:pPr>
      <w:r>
        <w:rPr>
          <w:rFonts w:hint="eastAsia" w:ascii="Times New Roman" w:hAnsi="Times New Roman" w:eastAsia="仿宋_GB2312" w:cs="Times New Roman"/>
          <w:sz w:val="30"/>
          <w:szCs w:val="30"/>
        </w:rPr>
        <w:t>（四）省赛现场比赛课程汇报材料。提交时间、内容及格式等具体要求另行通知。</w:t>
      </w:r>
    </w:p>
    <w:p w14:paraId="73726963">
      <w:pPr>
        <w:wordWrap w:val="0"/>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（五）参赛课程应保证相关参赛材料的原创性，不得抄袭、剽窃他人作品，如产生侵权行为或涉及知识产权纠纷，由参赛选手及所在高校承担相应责任。</w:t>
      </w:r>
    </w:p>
    <w:p w14:paraId="0FBC4338">
      <w:pPr>
        <w:adjustRightInd w:val="0"/>
        <w:snapToGrid w:val="0"/>
        <w:spacing w:line="510" w:lineRule="exact"/>
        <w:ind w:firstLine="600" w:firstLineChars="200"/>
        <w:outlineLvl w:val="0"/>
        <w:rPr>
          <w:rFonts w:ascii="Times New Roman" w:hAnsi="Times New Roman" w:eastAsia="黑体" w:cs="黑体"/>
          <w:sz w:val="30"/>
          <w:szCs w:val="30"/>
        </w:rPr>
      </w:pPr>
      <w:r>
        <w:rPr>
          <w:rFonts w:hint="eastAsia" w:ascii="Times New Roman" w:hAnsi="Times New Roman" w:eastAsia="黑体" w:cs="黑体"/>
          <w:sz w:val="30"/>
          <w:szCs w:val="30"/>
        </w:rPr>
        <w:t>五、现场比赛环节</w:t>
      </w:r>
    </w:p>
    <w:p w14:paraId="357326BD">
      <w:pPr>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sz w:val="30"/>
          <w:szCs w:val="30"/>
        </w:rPr>
        <w:t>（一）课程建设情况汇报</w:t>
      </w:r>
      <w:r>
        <w:rPr>
          <w:rFonts w:hint="eastAsia" w:ascii="Times New Roman" w:hAnsi="Times New Roman" w:eastAsia="仿宋_GB2312" w:cs="Times New Roman"/>
          <w:sz w:val="30"/>
          <w:szCs w:val="30"/>
        </w:rPr>
        <w:t>（6分钟）。选手展示课程创新探索、实施情况、成效体现等。</w:t>
      </w:r>
    </w:p>
    <w:p w14:paraId="1F7BA72B">
      <w:pPr>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sz w:val="30"/>
          <w:szCs w:val="30"/>
        </w:rPr>
        <w:t>（二）教学展示（</w:t>
      </w:r>
      <w:r>
        <w:rPr>
          <w:rFonts w:ascii="Times New Roman" w:hAnsi="Times New Roman" w:eastAsia="仿宋_GB2312" w:cs="Times New Roman"/>
          <w:sz w:val="30"/>
          <w:szCs w:val="30"/>
        </w:rPr>
        <w:t>10</w:t>
      </w:r>
      <w:r>
        <w:rPr>
          <w:rFonts w:hint="eastAsia" w:ascii="Times New Roman" w:hAnsi="Times New Roman" w:eastAsia="仿宋_GB2312" w:cs="Times New Roman"/>
          <w:sz w:val="30"/>
          <w:szCs w:val="30"/>
        </w:rPr>
        <w:t>分钟）。选手提供5个教学节段，现场随机抽取1个进行无生授课模式讲授。（5个教学节段报送内容及方式另行通知）</w:t>
      </w:r>
    </w:p>
    <w:p w14:paraId="7E4A6A92">
      <w:pPr>
        <w:adjustRightInd w:val="0"/>
        <w:snapToGrid w:val="0"/>
        <w:spacing w:line="510" w:lineRule="exact"/>
        <w:ind w:firstLine="600" w:firstLineChars="200"/>
        <w:rPr>
          <w:rFonts w:ascii="Times New Roman" w:hAnsi="Times New Roman" w:eastAsia="仿宋_GB2312" w:cs="Times New Roman"/>
          <w:sz w:val="30"/>
          <w:szCs w:val="30"/>
        </w:rPr>
      </w:pPr>
      <w:r>
        <w:rPr>
          <w:rFonts w:hint="eastAsia" w:ascii="Times New Roman" w:hAnsi="Times New Roman" w:eastAsia="楷体_GB2312" w:cs="楷体_GB2312"/>
          <w:sz w:val="30"/>
          <w:szCs w:val="30"/>
        </w:rPr>
        <w:t>（三）互动答辩</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分钟）。评委针对选手汇报情况和教学展示提问，主要考察课程建设水平、特色创新改革（探索）效果等。</w:t>
      </w:r>
    </w:p>
    <w:p w14:paraId="3A6B5158">
      <w:pPr>
        <w:adjustRightInd w:val="0"/>
        <w:snapToGrid w:val="0"/>
        <w:spacing w:line="510" w:lineRule="exact"/>
        <w:ind w:firstLine="600" w:firstLineChars="200"/>
        <w:outlineLvl w:val="0"/>
        <w:rPr>
          <w:rFonts w:ascii="Times New Roman" w:hAnsi="Times New Roman" w:eastAsia="黑体" w:cs="黑体"/>
          <w:sz w:val="30"/>
          <w:szCs w:val="30"/>
        </w:rPr>
      </w:pPr>
      <w:r>
        <w:rPr>
          <w:rFonts w:hint="eastAsia" w:ascii="Times New Roman" w:hAnsi="Times New Roman" w:eastAsia="黑体" w:cs="黑体"/>
          <w:sz w:val="30"/>
          <w:szCs w:val="30"/>
        </w:rPr>
        <w:t>六、评审标准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5418"/>
        <w:gridCol w:w="856"/>
      </w:tblGrid>
      <w:tr w14:paraId="4478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3494D2">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一、网络评审</w:t>
            </w:r>
          </w:p>
        </w:tc>
      </w:tr>
      <w:tr w14:paraId="7FD9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14:paraId="6B4800C5">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评价维度</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04BF8C3F">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评价要点</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1459E41">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分值</w:t>
            </w:r>
          </w:p>
        </w:tc>
      </w:tr>
      <w:tr w14:paraId="38B0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248" w:type="dxa"/>
            <w:vMerge w:val="restart"/>
            <w:tcBorders>
              <w:top w:val="nil"/>
              <w:left w:val="single" w:color="auto" w:sz="4" w:space="0"/>
              <w:bottom w:val="single" w:color="auto" w:sz="4" w:space="0"/>
              <w:right w:val="single" w:color="auto" w:sz="4" w:space="0"/>
            </w:tcBorders>
            <w:shd w:val="clear" w:color="auto" w:fill="auto"/>
            <w:vAlign w:val="center"/>
          </w:tcPr>
          <w:p w14:paraId="1DD8FC31">
            <w:pPr>
              <w:kinsoku w:val="0"/>
              <w:autoSpaceDE w:val="0"/>
              <w:adjustRightInd w:val="0"/>
              <w:snapToGrid w:val="0"/>
              <w:textAlignment w:val="baseline"/>
              <w:rPr>
                <w:rFonts w:ascii="Times New Roman" w:hAnsi="Times New Roman" w:eastAsia="楷体_GB2312" w:cs="Times New Roman"/>
                <w:color w:val="000000"/>
                <w:sz w:val="26"/>
                <w:szCs w:val="26"/>
              </w:rPr>
            </w:pPr>
            <w:r>
              <w:rPr>
                <w:rFonts w:hint="eastAsia" w:ascii="楷体_GB2312" w:hAnsi="Times New Roman" w:eastAsia="楷体_GB2312" w:cs="楷体_GB2312"/>
                <w:color w:val="000000"/>
                <w:sz w:val="26"/>
                <w:szCs w:val="26"/>
              </w:rPr>
              <w:t>1.</w:t>
            </w:r>
            <w:r>
              <w:rPr>
                <w:rFonts w:ascii="楷体_GB2312" w:hAnsi="Times New Roman" w:eastAsia="楷体_GB2312" w:cs="楷体_GB2312"/>
                <w:color w:val="000000"/>
                <w:sz w:val="26"/>
                <w:szCs w:val="26"/>
              </w:rPr>
              <w:t>课程定位及目标</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7B5B1D4A">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围绕国家经济社会发展需求和学校办学定位设置课程，与思想政治教育、专业教育深度融合，体现就业育人理念，突出专业性、前瞻性、实操性</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1FCC7542">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10</w:t>
            </w:r>
          </w:p>
        </w:tc>
      </w:tr>
      <w:tr w14:paraId="274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76B607EA">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117E8F27">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课程目标落实立德树人要求，以服务学生发展为中心，遵循学生成长规律，引导学生从实际出发选择职业和工作岗位、提升学生生涯规划能力和求职就业能力，促进高质量充分就业</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269E07AA">
            <w:pPr>
              <w:rPr>
                <w:rFonts w:ascii="Times New Roman" w:hAnsi="Times New Roman" w:cs="Times New Roman"/>
                <w:sz w:val="20"/>
                <w:szCs w:val="20"/>
              </w:rPr>
            </w:pPr>
          </w:p>
        </w:tc>
      </w:tr>
      <w:tr w14:paraId="4C8D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14:paraId="4DB4FFA3">
            <w:pPr>
              <w:kinsoku w:val="0"/>
              <w:autoSpaceDE w:val="0"/>
              <w:adjustRightInd w:val="0"/>
              <w:snapToGrid w:val="0"/>
              <w:textAlignment w:val="baseline"/>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26"/>
                <w:szCs w:val="26"/>
              </w:rPr>
              <w:t>2.</w:t>
            </w:r>
            <w:r>
              <w:rPr>
                <w:rFonts w:ascii="楷体_GB2312" w:hAnsi="Times New Roman" w:eastAsia="楷体_GB2312" w:cs="楷体_GB2312"/>
                <w:color w:val="000000"/>
                <w:sz w:val="26"/>
                <w:szCs w:val="26"/>
              </w:rPr>
              <w:t>课程性质及覆盖面</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0CDC0F3E">
            <w:pPr>
              <w:kinsoku w:val="0"/>
              <w:autoSpaceDE w:val="0"/>
              <w:adjustRightInd w:val="0"/>
              <w:snapToGrid w:val="0"/>
              <w:textAlignment w:val="baseline"/>
              <w:rPr>
                <w:rFonts w:ascii="Times New Roman" w:hAnsi="Times New Roman" w:eastAsia="楷体_GB2312" w:cs="仿宋_GB2312"/>
                <w:color w:val="000000"/>
                <w:sz w:val="26"/>
                <w:szCs w:val="26"/>
              </w:rPr>
            </w:pPr>
            <w:r>
              <w:rPr>
                <w:rFonts w:hint="eastAsia" w:ascii="仿宋_GB2312" w:hAnsi="Times New Roman" w:eastAsia="仿宋_GB2312" w:cs="仿宋_GB2312"/>
                <w:color w:val="000000"/>
                <w:sz w:val="26"/>
                <w:szCs w:val="26"/>
              </w:rPr>
              <w:t>课程正式纳入人才培养方案，面向有就业意愿或求职需要的学生群体开设，结合校情、学情设置必修课或选修课，合理确定课程开设年级、学时及学分，优先支持覆盖所有学生的必修课</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D054CEF">
            <w:pPr>
              <w:kinsoku w:val="0"/>
              <w:autoSpaceDE w:val="0"/>
              <w:adjustRightInd w:val="0"/>
              <w:snapToGrid w:val="0"/>
              <w:jc w:val="center"/>
              <w:textAlignment w:val="baseline"/>
              <w:rPr>
                <w:rFonts w:ascii="Times New Roman" w:hAnsi="Times New Roman" w:eastAsia="仿宋_GB2312" w:cs="仿宋_GB2312"/>
                <w:color w:val="000000"/>
                <w:sz w:val="26"/>
                <w:szCs w:val="26"/>
              </w:rPr>
            </w:pPr>
            <w:r>
              <w:rPr>
                <w:rFonts w:ascii="Times New Roman" w:hAnsi="Times New Roman" w:eastAsia="仿宋_GB2312" w:cs="Times New Roman"/>
                <w:color w:val="000000"/>
                <w:sz w:val="26"/>
                <w:szCs w:val="26"/>
              </w:rPr>
              <w:t>10</w:t>
            </w:r>
          </w:p>
        </w:tc>
      </w:tr>
      <w:tr w14:paraId="0395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2248" w:type="dxa"/>
            <w:vMerge w:val="restart"/>
            <w:tcBorders>
              <w:top w:val="nil"/>
              <w:left w:val="single" w:color="auto" w:sz="4" w:space="0"/>
              <w:bottom w:val="single" w:color="auto" w:sz="4" w:space="0"/>
              <w:right w:val="single" w:color="auto" w:sz="4" w:space="0"/>
            </w:tcBorders>
            <w:shd w:val="clear" w:color="auto" w:fill="auto"/>
            <w:vAlign w:val="center"/>
          </w:tcPr>
          <w:p w14:paraId="40B67EC6">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3.</w:t>
            </w:r>
            <w:r>
              <w:rPr>
                <w:rFonts w:ascii="楷体_GB2312" w:hAnsi="Times New Roman" w:eastAsia="楷体_GB2312" w:cs="楷体_GB2312"/>
                <w:color w:val="000000"/>
                <w:sz w:val="26"/>
                <w:szCs w:val="26"/>
              </w:rPr>
              <w:t>课程教师团队</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7749395F">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课程教师团队负责人具备较高专业素养，熟练掌握生涯教育理论，具备就业指导专业能力，就业工作经验丰富，能够结合学校实际情况建立结构规模与授课学生覆盖面相匹配，专业素养过硬的教学团队</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06D16EA5">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15</w:t>
            </w:r>
          </w:p>
        </w:tc>
      </w:tr>
      <w:tr w14:paraId="2D35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1DF580D4">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1BAF202B">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教师团队成员相对稳定，具有良好的梯队结构、学缘结构、职称结构，校外兼职教师配备合理，体现所在学校的学科专业或行业特色，满足课程教学实际需要，能够结合学生学情和需求进行有针对性的课程创新改革</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078A3B3A">
            <w:pPr>
              <w:rPr>
                <w:rFonts w:ascii="Times New Roman" w:hAnsi="Times New Roman" w:cs="Times New Roman"/>
                <w:sz w:val="20"/>
                <w:szCs w:val="20"/>
              </w:rPr>
            </w:pPr>
          </w:p>
        </w:tc>
      </w:tr>
      <w:tr w14:paraId="6D6F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2248" w:type="dxa"/>
            <w:vMerge w:val="restart"/>
            <w:tcBorders>
              <w:top w:val="nil"/>
              <w:left w:val="single" w:color="auto" w:sz="4" w:space="0"/>
              <w:bottom w:val="single" w:color="auto" w:sz="4" w:space="0"/>
              <w:right w:val="single" w:color="auto" w:sz="4" w:space="0"/>
            </w:tcBorders>
            <w:shd w:val="clear" w:color="auto" w:fill="auto"/>
            <w:vAlign w:val="center"/>
          </w:tcPr>
          <w:p w14:paraId="08DC3BA4">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4.</w:t>
            </w:r>
            <w:r>
              <w:rPr>
                <w:rFonts w:ascii="楷体_GB2312" w:hAnsi="Times New Roman" w:eastAsia="楷体_GB2312" w:cs="楷体_GB2312"/>
                <w:color w:val="000000"/>
                <w:sz w:val="26"/>
                <w:szCs w:val="26"/>
              </w:rPr>
              <w:t xml:space="preserve">课程内容及设计 </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14AE1367">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课程内容围绕生涯规划指导、就业观念引导、就业政策解读、求职技能提升等其中一个或多个方面组织设计，体现思想性、学术性和时代性相统一，兼顾课程共性与学校个性</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46D37A43">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20</w:t>
            </w:r>
          </w:p>
        </w:tc>
      </w:tr>
      <w:tr w14:paraId="179D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418E1857">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42585BAC">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综合运用多种教学策略，结合内容采用丰富的教学活动。注重教学互动，强化学生主体意识，能够通过教学有效引发学生思考和行动</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29BD7837">
            <w:pPr>
              <w:rPr>
                <w:rFonts w:ascii="Times New Roman" w:hAnsi="Times New Roman" w:cs="Times New Roman"/>
                <w:sz w:val="20"/>
                <w:szCs w:val="20"/>
              </w:rPr>
            </w:pPr>
          </w:p>
        </w:tc>
      </w:tr>
      <w:tr w14:paraId="6CF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66EC77EB">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0A6A0860">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内容与本地区，本学校相关政策、形势、案例结合良好，各类教学案例和资源有时效性，强化职业体验和就业实习实践，与理论授课协同配合，提升实践教学的有效性。鼓励学生结合课程学习完成大赛平台生涯闯关</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31FD836F">
            <w:pPr>
              <w:rPr>
                <w:rFonts w:ascii="Times New Roman" w:hAnsi="Times New Roman" w:cs="Times New Roman"/>
                <w:sz w:val="20"/>
                <w:szCs w:val="20"/>
              </w:rPr>
            </w:pPr>
          </w:p>
        </w:tc>
      </w:tr>
      <w:tr w14:paraId="4AAE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248" w:type="dxa"/>
            <w:vMerge w:val="restart"/>
            <w:tcBorders>
              <w:top w:val="nil"/>
              <w:left w:val="single" w:color="auto" w:sz="4" w:space="0"/>
              <w:bottom w:val="single" w:color="auto" w:sz="4" w:space="0"/>
              <w:right w:val="single" w:color="auto" w:sz="4" w:space="0"/>
            </w:tcBorders>
            <w:shd w:val="clear" w:color="auto" w:fill="auto"/>
            <w:vAlign w:val="center"/>
          </w:tcPr>
          <w:p w14:paraId="287378BE">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5.</w:t>
            </w:r>
            <w:r>
              <w:rPr>
                <w:rFonts w:ascii="楷体_GB2312" w:hAnsi="Times New Roman" w:eastAsia="楷体_GB2312" w:cs="楷体_GB2312"/>
                <w:color w:val="000000"/>
                <w:sz w:val="26"/>
                <w:szCs w:val="26"/>
              </w:rPr>
              <w:t>课程建设与改革</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789BC0F2">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课程开设</w:t>
            </w:r>
            <w:r>
              <w:rPr>
                <w:rFonts w:ascii="Times New Roman" w:hAnsi="Times New Roman" w:eastAsia="仿宋_GB2312" w:cs="Times New Roman"/>
                <w:color w:val="000000"/>
                <w:sz w:val="26"/>
                <w:szCs w:val="26"/>
              </w:rPr>
              <w:t>3</w:t>
            </w:r>
            <w:r>
              <w:rPr>
                <w:rFonts w:hint="eastAsia" w:ascii="仿宋_GB2312" w:hAnsi="Times New Roman" w:eastAsia="仿宋_GB2312" w:cs="仿宋_GB2312"/>
                <w:color w:val="000000"/>
                <w:sz w:val="26"/>
                <w:szCs w:val="26"/>
              </w:rPr>
              <w:t>年以上，在建设发展过程中持续改进优化，课程资源等建设成果突出，出版或选用高质量教材，按需组织修订或更新调整</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7162CB0E">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15</w:t>
            </w:r>
          </w:p>
        </w:tc>
      </w:tr>
      <w:tr w14:paraId="2B68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6F3BAEF4">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36C25184">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形成较有特色课程建设模式，教学研究及教改成果丰富，获得代表性教学奖励</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6590CB1B">
            <w:pPr>
              <w:rPr>
                <w:rFonts w:ascii="Times New Roman" w:hAnsi="Times New Roman" w:cs="Times New Roman"/>
                <w:sz w:val="20"/>
                <w:szCs w:val="20"/>
              </w:rPr>
            </w:pPr>
          </w:p>
        </w:tc>
      </w:tr>
      <w:tr w14:paraId="43C4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6AE83B27">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6E58B77C">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有今后</w:t>
            </w:r>
            <w:r>
              <w:rPr>
                <w:rFonts w:ascii="Times New Roman" w:hAnsi="Times New Roman" w:eastAsia="仿宋_GB2312" w:cs="Times New Roman"/>
                <w:color w:val="000000"/>
                <w:sz w:val="26"/>
                <w:szCs w:val="26"/>
              </w:rPr>
              <w:t>3</w:t>
            </w:r>
            <w:r>
              <w:rPr>
                <w:rFonts w:hint="eastAsia" w:ascii="仿宋_GB2312" w:hAnsi="Times New Roman" w:eastAsia="仿宋_GB2312" w:cs="仿宋_GB2312"/>
                <w:color w:val="000000"/>
                <w:sz w:val="26"/>
                <w:szCs w:val="26"/>
              </w:rPr>
              <w:t>年的课程建设计划，改进方向明确，问题导向、效果导向突出，改进措施具体可行</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6C5C6E5D">
            <w:pPr>
              <w:rPr>
                <w:rFonts w:ascii="Times New Roman" w:hAnsi="Times New Roman" w:cs="Times New Roman"/>
                <w:sz w:val="20"/>
                <w:szCs w:val="20"/>
              </w:rPr>
            </w:pPr>
          </w:p>
        </w:tc>
      </w:tr>
      <w:tr w14:paraId="79AE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22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C7D82">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6.</w:t>
            </w:r>
            <w:r>
              <w:rPr>
                <w:rFonts w:ascii="楷体_GB2312" w:hAnsi="Times New Roman" w:eastAsia="楷体_GB2312" w:cs="楷体_GB2312"/>
                <w:color w:val="000000"/>
                <w:sz w:val="26"/>
                <w:szCs w:val="26"/>
              </w:rPr>
              <w:t>课程特色创新点</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6E3AB375">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注重通过理念创新、内容拓展、教学方法创新、技术手段运用等，不断提升课程质量。课程设计充分结合中国传统文化和时代需要，注重融入专业特色。鼓励结合学校特色和学生特点探索中国特色生涯教育理论创新，课程更好结合经济社会发展需要，实现课程与就业工作良性互动</w:t>
            </w:r>
          </w:p>
        </w:tc>
        <w:tc>
          <w:tcPr>
            <w:tcW w:w="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86BE21">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20</w:t>
            </w:r>
          </w:p>
        </w:tc>
      </w:tr>
      <w:tr w14:paraId="0654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2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B7500">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6FC50BEF">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教学中精准把握学生个性化诉求，运用</w:t>
            </w:r>
            <w:r>
              <w:rPr>
                <w:rFonts w:ascii="Times New Roman" w:hAnsi="Times New Roman" w:eastAsia="仿宋_GB2312" w:cs="仿宋_GB2312"/>
                <w:color w:val="000000"/>
                <w:sz w:val="26"/>
                <w:szCs w:val="26"/>
              </w:rPr>
              <w:t>AI</w:t>
            </w:r>
            <w:r>
              <w:rPr>
                <w:rFonts w:hint="eastAsia" w:ascii="仿宋_GB2312" w:hAnsi="Times New Roman" w:eastAsia="仿宋_GB2312" w:cs="仿宋_GB2312"/>
                <w:color w:val="000000"/>
                <w:sz w:val="26"/>
                <w:szCs w:val="26"/>
              </w:rPr>
              <w:t>赋能、体验式学习等手段开展教学方法创新，具备较强的借鉴和推广价值</w:t>
            </w:r>
          </w:p>
        </w:tc>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1891B">
            <w:pPr>
              <w:rPr>
                <w:rFonts w:ascii="Times New Roman" w:hAnsi="Times New Roman" w:cs="Times New Roman"/>
                <w:sz w:val="20"/>
                <w:szCs w:val="20"/>
              </w:rPr>
            </w:pPr>
          </w:p>
        </w:tc>
      </w:tr>
      <w:tr w14:paraId="6E5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248" w:type="dxa"/>
            <w:vMerge w:val="restart"/>
            <w:tcBorders>
              <w:top w:val="nil"/>
              <w:left w:val="single" w:color="auto" w:sz="4" w:space="0"/>
              <w:bottom w:val="single" w:color="auto" w:sz="4" w:space="0"/>
              <w:right w:val="single" w:color="auto" w:sz="4" w:space="0"/>
            </w:tcBorders>
            <w:shd w:val="clear" w:color="auto" w:fill="auto"/>
            <w:vAlign w:val="center"/>
          </w:tcPr>
          <w:p w14:paraId="6972DBB5">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7.</w:t>
            </w:r>
            <w:r>
              <w:rPr>
                <w:rFonts w:ascii="楷体_GB2312" w:hAnsi="Times New Roman" w:eastAsia="楷体_GB2312" w:cs="楷体_GB2312"/>
                <w:color w:val="000000"/>
                <w:sz w:val="26"/>
                <w:szCs w:val="26"/>
              </w:rPr>
              <w:t>课程实施成效</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00DD0BD8">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课程教学满足学生生涯规划和求职就业的真实需求，学生的评教结果满意度水平高，基于学生评教结果开展教学研究，持续改进优化课程教学</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0165E2D4">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10</w:t>
            </w:r>
          </w:p>
        </w:tc>
      </w:tr>
      <w:tr w14:paraId="392B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248" w:type="dxa"/>
            <w:vMerge w:val="continue"/>
            <w:tcBorders>
              <w:top w:val="nil"/>
              <w:left w:val="single" w:color="auto" w:sz="4" w:space="0"/>
              <w:bottom w:val="single" w:color="auto" w:sz="4" w:space="0"/>
              <w:right w:val="single" w:color="auto" w:sz="4" w:space="0"/>
            </w:tcBorders>
            <w:shd w:val="clear" w:color="auto" w:fill="auto"/>
            <w:vAlign w:val="center"/>
          </w:tcPr>
          <w:p w14:paraId="5BDCEE32">
            <w:pPr>
              <w:rPr>
                <w:rFonts w:ascii="Times New Roman" w:hAnsi="Times New Roman" w:cs="Times New Roman"/>
                <w:sz w:val="20"/>
                <w:szCs w:val="20"/>
              </w:rPr>
            </w:pP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5281469D">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课程达到预期目标，学生更加积极投入专业学习、主动开展实习实践，学生就业去向与学校定位、人才培养目标总体一致</w:t>
            </w:r>
          </w:p>
        </w:tc>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595D45F7">
            <w:pPr>
              <w:rPr>
                <w:rFonts w:ascii="Times New Roman" w:hAnsi="Times New Roman" w:cs="Times New Roman"/>
                <w:sz w:val="20"/>
                <w:szCs w:val="20"/>
              </w:rPr>
            </w:pPr>
          </w:p>
        </w:tc>
      </w:tr>
      <w:tr w14:paraId="39AD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48" w:type="dxa"/>
            <w:tcBorders>
              <w:top w:val="single" w:color="auto" w:sz="4" w:space="0"/>
              <w:left w:val="single" w:color="auto" w:sz="4" w:space="0"/>
              <w:bottom w:val="single" w:color="auto" w:sz="4" w:space="0"/>
              <w:right w:val="single" w:color="auto" w:sz="4" w:space="0"/>
            </w:tcBorders>
            <w:shd w:val="clear" w:color="auto" w:fill="auto"/>
            <w:vAlign w:val="center"/>
          </w:tcPr>
          <w:p w14:paraId="3096CFE6">
            <w:pPr>
              <w:kinsoku w:val="0"/>
              <w:autoSpaceDE w:val="0"/>
              <w:adjustRightInd w:val="0"/>
              <w:snapToGrid w:val="0"/>
              <w:jc w:val="center"/>
              <w:textAlignment w:val="baseline"/>
              <w:rPr>
                <w:rFonts w:ascii="Times New Roman" w:hAnsi="Times New Roman" w:eastAsia="仿宋_GB2312" w:cs="Times New Roman"/>
                <w:color w:val="000000"/>
                <w:sz w:val="26"/>
                <w:szCs w:val="26"/>
              </w:rPr>
            </w:pPr>
            <w:r>
              <w:rPr>
                <w:rFonts w:hint="eastAsia" w:ascii="黑体" w:hAnsi="宋体" w:eastAsia="黑体" w:cs="黑体"/>
                <w:color w:val="000000"/>
                <w:sz w:val="26"/>
                <w:szCs w:val="26"/>
              </w:rPr>
              <w:t>总分</w:t>
            </w:r>
          </w:p>
        </w:tc>
        <w:tc>
          <w:tcPr>
            <w:tcW w:w="5418" w:type="dxa"/>
            <w:tcBorders>
              <w:top w:val="single" w:color="auto" w:sz="4" w:space="0"/>
              <w:left w:val="single" w:color="auto" w:sz="4" w:space="0"/>
              <w:bottom w:val="single" w:color="auto" w:sz="4" w:space="0"/>
              <w:right w:val="single" w:color="auto" w:sz="4" w:space="0"/>
            </w:tcBorders>
            <w:shd w:val="clear" w:color="auto" w:fill="auto"/>
            <w:vAlign w:val="center"/>
          </w:tcPr>
          <w:p w14:paraId="4126BF9D">
            <w:pPr>
              <w:kinsoku w:val="0"/>
              <w:autoSpaceDE w:val="0"/>
              <w:adjustRightInd w:val="0"/>
              <w:snapToGrid w:val="0"/>
              <w:textAlignment w:val="baseline"/>
              <w:rPr>
                <w:rFonts w:ascii="Times New Roman" w:hAnsi="Times New Roman" w:eastAsia="仿宋_GB2312" w:cs="Times New Roman"/>
                <w:color w:val="000000"/>
                <w:sz w:val="26"/>
                <w:szCs w:val="26"/>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07947C7F">
            <w:pPr>
              <w:kinsoku w:val="0"/>
              <w:autoSpaceDE w:val="0"/>
              <w:adjustRightInd w:val="0"/>
              <w:snapToGrid w:val="0"/>
              <w:ind w:left="-105" w:leftChars="-50" w:right="-105" w:rightChars="-50"/>
              <w:jc w:val="center"/>
              <w:textAlignment w:val="baseline"/>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100</w:t>
            </w:r>
          </w:p>
        </w:tc>
      </w:tr>
    </w:tbl>
    <w:p w14:paraId="44463C96">
      <w:pPr>
        <w:rPr>
          <w:rFonts w:ascii="Times New Roman" w:hAnsi="Times New Roman" w:eastAsia="仿宋_GB2312" w:cs="Times New Roman"/>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5411"/>
        <w:gridCol w:w="845"/>
      </w:tblGrid>
      <w:tr w14:paraId="0E36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CBC4BD">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二、现场比赛</w:t>
            </w:r>
          </w:p>
        </w:tc>
      </w:tr>
      <w:tr w14:paraId="78BD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7AB5CEBB">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评价维度</w:t>
            </w:r>
          </w:p>
        </w:tc>
        <w:tc>
          <w:tcPr>
            <w:tcW w:w="5411" w:type="dxa"/>
            <w:tcBorders>
              <w:top w:val="single" w:color="auto" w:sz="4" w:space="0"/>
              <w:left w:val="single" w:color="auto" w:sz="4" w:space="0"/>
              <w:bottom w:val="single" w:color="auto" w:sz="4" w:space="0"/>
              <w:right w:val="single" w:color="auto" w:sz="4" w:space="0"/>
            </w:tcBorders>
            <w:shd w:val="clear" w:color="auto" w:fill="auto"/>
            <w:vAlign w:val="center"/>
          </w:tcPr>
          <w:p w14:paraId="166D2C51">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评价要点</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2E732997">
            <w:pPr>
              <w:kinsoku w:val="0"/>
              <w:autoSpaceDE w:val="0"/>
              <w:adjustRightInd w:val="0"/>
              <w:snapToGrid w:val="0"/>
              <w:jc w:val="center"/>
              <w:textAlignment w:val="baseline"/>
              <w:rPr>
                <w:rFonts w:ascii="仿宋_GB2312" w:hAnsi="Times New Roman" w:eastAsia="仿宋_GB2312" w:cs="仿宋_GB2312"/>
                <w:b/>
                <w:bCs/>
                <w:color w:val="000000"/>
                <w:sz w:val="26"/>
                <w:szCs w:val="26"/>
              </w:rPr>
            </w:pPr>
            <w:r>
              <w:rPr>
                <w:rFonts w:hint="eastAsia" w:ascii="仿宋_GB2312" w:hAnsi="Times New Roman" w:eastAsia="仿宋_GB2312" w:cs="仿宋_GB2312"/>
                <w:b/>
                <w:bCs/>
                <w:color w:val="000000"/>
                <w:sz w:val="26"/>
                <w:szCs w:val="26"/>
              </w:rPr>
              <w:t>分值</w:t>
            </w:r>
          </w:p>
        </w:tc>
      </w:tr>
      <w:tr w14:paraId="2483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03F0D2C9">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1.</w:t>
            </w:r>
            <w:r>
              <w:rPr>
                <w:rFonts w:ascii="楷体_GB2312" w:hAnsi="Times New Roman" w:eastAsia="楷体_GB2312" w:cs="楷体_GB2312"/>
                <w:color w:val="000000"/>
                <w:sz w:val="26"/>
                <w:szCs w:val="26"/>
              </w:rPr>
              <w:t>课程建设情况汇报与互动答辩</w:t>
            </w:r>
          </w:p>
        </w:tc>
        <w:tc>
          <w:tcPr>
            <w:tcW w:w="5411" w:type="dxa"/>
            <w:tcBorders>
              <w:top w:val="single" w:color="auto" w:sz="4" w:space="0"/>
              <w:left w:val="single" w:color="auto" w:sz="4" w:space="0"/>
              <w:bottom w:val="single" w:color="auto" w:sz="4" w:space="0"/>
              <w:right w:val="single" w:color="auto" w:sz="4" w:space="0"/>
            </w:tcBorders>
            <w:shd w:val="clear" w:color="auto" w:fill="auto"/>
            <w:vAlign w:val="center"/>
          </w:tcPr>
          <w:p w14:paraId="60FCADC6">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规定时间内汇报课程创新方法、实施情况、效果体现等。回答问题能够体现教师对课程建设的理解和思考，反映课程建设的特色、水平和对学生发展促进作用</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42DA5D6">
            <w:pPr>
              <w:kinsoku w:val="0"/>
              <w:autoSpaceDE w:val="0"/>
              <w:adjustRightInd w:val="0"/>
              <w:snapToGrid w:val="0"/>
              <w:jc w:val="center"/>
              <w:textAlignment w:val="baseline"/>
              <w:rPr>
                <w:rFonts w:ascii="Times New Roman" w:hAnsi="Times New Roman" w:eastAsia="宋体" w:cs="Times New Roman"/>
                <w:color w:val="000000"/>
                <w:sz w:val="26"/>
                <w:szCs w:val="26"/>
              </w:rPr>
            </w:pPr>
            <w:r>
              <w:rPr>
                <w:rFonts w:ascii="Times New Roman" w:hAnsi="Times New Roman" w:eastAsia="仿宋_GB2312" w:cs="Times New Roman"/>
                <w:color w:val="000000"/>
                <w:sz w:val="26"/>
                <w:szCs w:val="26"/>
              </w:rPr>
              <w:t>5</w:t>
            </w:r>
            <w:r>
              <w:rPr>
                <w:rFonts w:ascii="Times New Roman" w:hAnsi="Times New Roman" w:eastAsia="宋体" w:cs="Times New Roman"/>
                <w:color w:val="000000"/>
                <w:sz w:val="26"/>
                <w:szCs w:val="26"/>
              </w:rPr>
              <w:t>0</w:t>
            </w:r>
          </w:p>
        </w:tc>
      </w:tr>
      <w:tr w14:paraId="650F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66" w:type="dxa"/>
            <w:vMerge w:val="restart"/>
            <w:tcBorders>
              <w:top w:val="nil"/>
              <w:left w:val="single" w:color="auto" w:sz="4" w:space="0"/>
              <w:bottom w:val="single" w:color="auto" w:sz="4" w:space="0"/>
              <w:right w:val="single" w:color="auto" w:sz="4" w:space="0"/>
            </w:tcBorders>
            <w:shd w:val="clear" w:color="auto" w:fill="auto"/>
            <w:vAlign w:val="center"/>
          </w:tcPr>
          <w:p w14:paraId="2162778F">
            <w:pPr>
              <w:kinsoku w:val="0"/>
              <w:autoSpaceDE w:val="0"/>
              <w:adjustRightInd w:val="0"/>
              <w:snapToGrid w:val="0"/>
              <w:textAlignment w:val="baseline"/>
              <w:rPr>
                <w:rFonts w:ascii="Times New Roman" w:hAnsi="Times New Roman" w:eastAsia="楷体_GB2312" w:cs="Times New Roman"/>
                <w:color w:val="000000"/>
                <w:sz w:val="26"/>
                <w:szCs w:val="26"/>
              </w:rPr>
            </w:pPr>
            <w:r>
              <w:rPr>
                <w:rFonts w:ascii="Times New Roman" w:hAnsi="Times New Roman" w:eastAsia="楷体_GB2312" w:cs="Times New Roman"/>
                <w:color w:val="000000"/>
                <w:sz w:val="26"/>
                <w:szCs w:val="26"/>
              </w:rPr>
              <w:t>2.</w:t>
            </w:r>
            <w:r>
              <w:rPr>
                <w:rFonts w:ascii="楷体_GB2312" w:hAnsi="Times New Roman" w:eastAsia="楷体_GB2312" w:cs="楷体_GB2312"/>
                <w:color w:val="000000"/>
                <w:sz w:val="26"/>
                <w:szCs w:val="26"/>
              </w:rPr>
              <w:t>教学展示</w:t>
            </w:r>
          </w:p>
        </w:tc>
        <w:tc>
          <w:tcPr>
            <w:tcW w:w="5411" w:type="dxa"/>
            <w:tcBorders>
              <w:top w:val="single" w:color="auto" w:sz="4" w:space="0"/>
              <w:left w:val="single" w:color="auto" w:sz="4" w:space="0"/>
              <w:bottom w:val="single" w:color="auto" w:sz="4" w:space="0"/>
              <w:right w:val="single" w:color="auto" w:sz="4" w:space="0"/>
            </w:tcBorders>
            <w:shd w:val="clear" w:color="auto" w:fill="auto"/>
            <w:vAlign w:val="center"/>
          </w:tcPr>
          <w:p w14:paraId="68DB9528">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围绕主题合理设计内容，采用适当教学方法，体现对学生实践行动的促进，实现预期教学目标</w:t>
            </w:r>
          </w:p>
        </w:tc>
        <w:tc>
          <w:tcPr>
            <w:tcW w:w="845" w:type="dxa"/>
            <w:vMerge w:val="restart"/>
            <w:tcBorders>
              <w:top w:val="nil"/>
              <w:left w:val="single" w:color="auto" w:sz="4" w:space="0"/>
              <w:bottom w:val="single" w:color="auto" w:sz="4" w:space="0"/>
              <w:right w:val="single" w:color="auto" w:sz="4" w:space="0"/>
            </w:tcBorders>
            <w:shd w:val="clear" w:color="auto" w:fill="auto"/>
            <w:vAlign w:val="center"/>
          </w:tcPr>
          <w:p w14:paraId="491CC0FF">
            <w:pPr>
              <w:kinsoku w:val="0"/>
              <w:autoSpaceDE w:val="0"/>
              <w:adjustRightInd w:val="0"/>
              <w:snapToGrid w:val="0"/>
              <w:jc w:val="center"/>
              <w:textAlignment w:val="baseline"/>
              <w:rPr>
                <w:rFonts w:ascii="Times New Roman" w:hAnsi="Times New Roman" w:eastAsia="宋体" w:cs="Times New Roman"/>
                <w:color w:val="000000"/>
                <w:sz w:val="26"/>
                <w:szCs w:val="26"/>
              </w:rPr>
            </w:pPr>
            <w:r>
              <w:rPr>
                <w:rFonts w:ascii="Times New Roman" w:hAnsi="Times New Roman" w:eastAsia="仿宋_GB2312" w:cs="Times New Roman"/>
                <w:color w:val="000000"/>
                <w:sz w:val="26"/>
                <w:szCs w:val="26"/>
              </w:rPr>
              <w:t>5</w:t>
            </w:r>
            <w:r>
              <w:rPr>
                <w:rFonts w:ascii="Times New Roman" w:hAnsi="Times New Roman" w:eastAsia="宋体" w:cs="Times New Roman"/>
                <w:color w:val="000000"/>
                <w:sz w:val="26"/>
                <w:szCs w:val="26"/>
              </w:rPr>
              <w:t>0</w:t>
            </w:r>
          </w:p>
        </w:tc>
      </w:tr>
      <w:tr w14:paraId="57D6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66" w:type="dxa"/>
            <w:vMerge w:val="continue"/>
            <w:tcBorders>
              <w:top w:val="nil"/>
              <w:left w:val="single" w:color="auto" w:sz="4" w:space="0"/>
              <w:bottom w:val="single" w:color="auto" w:sz="4" w:space="0"/>
              <w:right w:val="single" w:color="auto" w:sz="4" w:space="0"/>
            </w:tcBorders>
            <w:shd w:val="clear" w:color="auto" w:fill="auto"/>
            <w:vAlign w:val="center"/>
          </w:tcPr>
          <w:p w14:paraId="5A67CF74">
            <w:pPr>
              <w:rPr>
                <w:rFonts w:ascii="Times New Roman" w:hAnsi="Times New Roman" w:cs="Times New Roman"/>
                <w:sz w:val="20"/>
                <w:szCs w:val="20"/>
              </w:rPr>
            </w:pPr>
          </w:p>
        </w:tc>
        <w:tc>
          <w:tcPr>
            <w:tcW w:w="5411" w:type="dxa"/>
            <w:tcBorders>
              <w:top w:val="single" w:color="auto" w:sz="4" w:space="0"/>
              <w:left w:val="single" w:color="auto" w:sz="4" w:space="0"/>
              <w:bottom w:val="single" w:color="auto" w:sz="4" w:space="0"/>
              <w:right w:val="single" w:color="auto" w:sz="4" w:space="0"/>
            </w:tcBorders>
            <w:shd w:val="clear" w:color="auto" w:fill="auto"/>
            <w:vAlign w:val="center"/>
          </w:tcPr>
          <w:p w14:paraId="768F507D">
            <w:pPr>
              <w:kinsoku w:val="0"/>
              <w:autoSpaceDE w:val="0"/>
              <w:adjustRightInd w:val="0"/>
              <w:snapToGrid w:val="0"/>
              <w:textAlignment w:val="baseline"/>
              <w:rPr>
                <w:rFonts w:ascii="Times New Roman" w:hAnsi="Times New Roman" w:eastAsia="仿宋_GB2312" w:cs="仿宋_GB2312"/>
                <w:color w:val="000000"/>
                <w:sz w:val="26"/>
                <w:szCs w:val="26"/>
              </w:rPr>
            </w:pPr>
            <w:r>
              <w:rPr>
                <w:rFonts w:hint="eastAsia" w:ascii="仿宋_GB2312" w:hAnsi="Times New Roman" w:eastAsia="仿宋_GB2312" w:cs="仿宋_GB2312"/>
                <w:color w:val="000000"/>
                <w:sz w:val="26"/>
                <w:szCs w:val="26"/>
              </w:rPr>
              <w:t>通过教学展示体现教师实际教学的经验，突出以学生为主体，熟练运用生涯教育理论和方法，解决学生生涯发展中的实际问题</w:t>
            </w:r>
          </w:p>
        </w:tc>
        <w:tc>
          <w:tcPr>
            <w:tcW w:w="845" w:type="dxa"/>
            <w:vMerge w:val="continue"/>
            <w:tcBorders>
              <w:top w:val="nil"/>
              <w:left w:val="single" w:color="auto" w:sz="4" w:space="0"/>
              <w:bottom w:val="single" w:color="auto" w:sz="4" w:space="0"/>
              <w:right w:val="single" w:color="auto" w:sz="4" w:space="0"/>
            </w:tcBorders>
            <w:shd w:val="clear" w:color="auto" w:fill="auto"/>
            <w:vAlign w:val="center"/>
          </w:tcPr>
          <w:p w14:paraId="19D124CB">
            <w:pPr>
              <w:rPr>
                <w:rFonts w:ascii="Times New Roman" w:hAnsi="Times New Roman" w:cs="Times New Roman"/>
                <w:sz w:val="20"/>
                <w:szCs w:val="20"/>
              </w:rPr>
            </w:pPr>
          </w:p>
        </w:tc>
      </w:tr>
      <w:tr w14:paraId="7CC3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15149F24">
            <w:pPr>
              <w:kinsoku w:val="0"/>
              <w:autoSpaceDE w:val="0"/>
              <w:adjustRightInd w:val="0"/>
              <w:snapToGrid w:val="0"/>
              <w:jc w:val="center"/>
              <w:textAlignment w:val="baseline"/>
              <w:rPr>
                <w:rFonts w:ascii="Times New Roman" w:hAnsi="Times New Roman" w:eastAsia="宋体" w:cs="Times New Roman"/>
                <w:color w:val="000000"/>
                <w:sz w:val="26"/>
                <w:szCs w:val="26"/>
              </w:rPr>
            </w:pPr>
            <w:r>
              <w:rPr>
                <w:rFonts w:hint="eastAsia" w:ascii="黑体" w:hAnsi="宋体" w:eastAsia="黑体" w:cs="黑体"/>
                <w:color w:val="000000"/>
                <w:sz w:val="26"/>
                <w:szCs w:val="26"/>
              </w:rPr>
              <w:t>总分</w:t>
            </w:r>
          </w:p>
        </w:tc>
        <w:tc>
          <w:tcPr>
            <w:tcW w:w="5411" w:type="dxa"/>
            <w:tcBorders>
              <w:top w:val="single" w:color="auto" w:sz="4" w:space="0"/>
              <w:left w:val="single" w:color="auto" w:sz="4" w:space="0"/>
              <w:bottom w:val="single" w:color="auto" w:sz="4" w:space="0"/>
              <w:right w:val="single" w:color="auto" w:sz="4" w:space="0"/>
            </w:tcBorders>
            <w:shd w:val="clear" w:color="auto" w:fill="auto"/>
            <w:vAlign w:val="center"/>
          </w:tcPr>
          <w:p w14:paraId="19D0A688">
            <w:pPr>
              <w:kinsoku w:val="0"/>
              <w:autoSpaceDE w:val="0"/>
              <w:adjustRightInd w:val="0"/>
              <w:snapToGrid w:val="0"/>
              <w:textAlignment w:val="baseline"/>
              <w:rPr>
                <w:rFonts w:ascii="Times New Roman" w:hAnsi="Times New Roman" w:eastAsia="宋体" w:cs="Times New Roman"/>
                <w:color w:val="000000"/>
                <w:sz w:val="26"/>
                <w:szCs w:val="26"/>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A2CA54D">
            <w:pPr>
              <w:kinsoku w:val="0"/>
              <w:autoSpaceDE w:val="0"/>
              <w:adjustRightInd w:val="0"/>
              <w:snapToGrid w:val="0"/>
              <w:ind w:left="-105" w:leftChars="-50" w:right="-105" w:rightChars="-50"/>
              <w:jc w:val="center"/>
              <w:textAlignment w:val="baseline"/>
              <w:rPr>
                <w:rFonts w:ascii="Times New Roman" w:hAnsi="Times New Roman" w:eastAsia="宋体" w:cs="Times New Roman"/>
                <w:color w:val="000000"/>
                <w:sz w:val="26"/>
                <w:szCs w:val="26"/>
              </w:rPr>
            </w:pPr>
            <w:r>
              <w:rPr>
                <w:rFonts w:ascii="Times New Roman" w:hAnsi="Times New Roman" w:eastAsia="宋体" w:cs="Times New Roman"/>
                <w:color w:val="000000"/>
                <w:sz w:val="26"/>
                <w:szCs w:val="26"/>
              </w:rPr>
              <w:t>100</w:t>
            </w:r>
          </w:p>
        </w:tc>
      </w:tr>
    </w:tbl>
    <w:p w14:paraId="34ADFFDE">
      <w:pPr>
        <w:widowControl/>
        <w:kinsoku w:val="0"/>
        <w:autoSpaceDE w:val="0"/>
        <w:autoSpaceDN w:val="0"/>
        <w:adjustRightInd w:val="0"/>
        <w:snapToGrid w:val="0"/>
        <w:spacing w:line="360" w:lineRule="auto"/>
        <w:textAlignment w:val="baseline"/>
        <w:rPr>
          <w:rFonts w:ascii="黑体" w:hAnsi="黑体" w:eastAsia="黑体" w:cs="黑体"/>
          <w:color w:val="000000" w:themeColor="text1"/>
          <w:sz w:val="32"/>
          <w:szCs w:val="32"/>
          <w14:textFill>
            <w14:solidFill>
              <w14:schemeClr w14:val="tx1"/>
            </w14:solidFill>
          </w14:textFill>
        </w:rPr>
      </w:pPr>
    </w:p>
    <w:p w14:paraId="3497A3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AC09C-124A-4C85-AD56-2761BEBBED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5761BF-9602-49DB-96CA-7FA714A22BE0}"/>
  </w:font>
  <w:font w:name="方正小标宋简体">
    <w:panose1 w:val="02000000000000000000"/>
    <w:charset w:val="86"/>
    <w:family w:val="auto"/>
    <w:pitch w:val="default"/>
    <w:sig w:usb0="00000001" w:usb1="08000000" w:usb2="00000000" w:usb3="00000000" w:csb0="00040000" w:csb1="00000000"/>
    <w:embedRegular r:id="rId3" w:fontKey="{D3B97518-D40D-41F5-AE39-5CE9301A2893}"/>
  </w:font>
  <w:font w:name="仿宋">
    <w:panose1 w:val="02010609060101010101"/>
    <w:charset w:val="86"/>
    <w:family w:val="modern"/>
    <w:pitch w:val="default"/>
    <w:sig w:usb0="800002BF" w:usb1="38CF7CFA" w:usb2="00000016" w:usb3="00000000" w:csb0="00040001" w:csb1="00000000"/>
    <w:embedRegular r:id="rId4" w:fontKey="{A2A35311-D222-45DC-AC53-87AA0DAAAC8B}"/>
  </w:font>
  <w:font w:name="仿宋_GB2312">
    <w:altName w:val="仿宋"/>
    <w:panose1 w:val="02010609030101010101"/>
    <w:charset w:val="86"/>
    <w:family w:val="modern"/>
    <w:pitch w:val="default"/>
    <w:sig w:usb0="00000000" w:usb1="00000000" w:usb2="00000000" w:usb3="00000000" w:csb0="00040000" w:csb1="00000000"/>
    <w:embedRegular r:id="rId5" w:fontKey="{511B86FC-1398-48EB-9076-BACC759C4EAA}"/>
  </w:font>
  <w:font w:name="楷体_GB2312">
    <w:altName w:val="楷体"/>
    <w:panose1 w:val="02010609030101010101"/>
    <w:charset w:val="86"/>
    <w:family w:val="modern"/>
    <w:pitch w:val="default"/>
    <w:sig w:usb0="00000000" w:usb1="00000000" w:usb2="00000000" w:usb3="00000000" w:csb0="00040000" w:csb1="00000000"/>
    <w:embedRegular r:id="rId6" w:fontKey="{2F911EA9-F6BA-408E-AD5B-45DBDB71EAB1}"/>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61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2025-11-14T02:58:46Z</dcterms:created>
  <dc:creator>lenovo</dc:creator>
  <cp:lastModifiedBy>Aurora</cp:lastModifiedBy>
  <dcterms:modified xsi:type="dcterms:W3CDTF">2025-11-14T03:00:06Z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eyJoZGlkIjoiNTdmMDc2OTI4ZjQzMmVmNmUwNDIyZWYwNTc5NTExZDIiLCJ1c2VySWQiOiI2MzIwNDM5MzMifQ==</vt:lpwstr>
  </property>
  <property fmtid="{D5CDD505-2E9C-101B-9397-08002B2CF9AE}" pid="4" name="ICV">
    <vt:lpwstr>C3D19750D52D4C18ADA7685F202E6BEB_12</vt:lpwstr>
  </property>
</Properties>
</file>