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b/>
          <w:color w:val="000000"/>
          <w:sz w:val="44"/>
          <w:szCs w:val="32"/>
        </w:rPr>
      </w:pPr>
      <w:r>
        <w:rPr>
          <w:rFonts w:ascii="Times New Roman" w:hAnsi="Times New Roman" w:eastAsia="方正小标宋简体"/>
          <w:b/>
          <w:color w:val="000000"/>
          <w:sz w:val="44"/>
          <w:szCs w:val="32"/>
        </w:rPr>
        <w:t>高校清单审核要点</w:t>
      </w:r>
    </w:p>
    <w:p>
      <w:pPr>
        <w:snapToGrid w:val="0"/>
        <w:spacing w:line="360" w:lineRule="auto"/>
        <w:ind w:firstLine="643" w:firstLineChars="200"/>
        <w:rPr>
          <w:rFonts w:ascii="Times New Roman" w:hAnsi="Times New Roman" w:eastAsia="黑体"/>
          <w:b/>
          <w:color w:val="000000"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ind w:firstLine="643" w:firstLineChars="20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sz w:val="32"/>
          <w:szCs w:val="32"/>
        </w:rPr>
        <w:t>改革学校评价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“将落实党的全面领导、坚持正确办学方向、加强和改进学校党的建设以及党建带团建队建、做好思想政治工作和意识形态工作、依法治校办学、维护安全稳定作为评价学校及其领导人员、管理人员的重要内容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“健全学校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内部</w:t>
      </w:r>
      <w:r>
        <w:rPr>
          <w:rFonts w:ascii="Times New Roman" w:hAnsi="Times New Roman" w:eastAsia="仿宋_GB2312"/>
          <w:color w:val="000000"/>
          <w:sz w:val="32"/>
          <w:szCs w:val="32"/>
        </w:rPr>
        <w:t>质量保障制度”；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“改进本科教育教学评估，突出思想政治教育、教授为本科生上课、生师比、生均课程门数、优势特色专业、学位论文（毕业设计）指导、学生管理与服务、学生参加社会实践、毕业生发展、用人单位满意度等”；（</w:t>
      </w:r>
      <w:r>
        <w:rPr>
          <w:rFonts w:hint="eastAsia" w:ascii="楷体_GB2312" w:hAnsi="Times New Roman" w:eastAsia="楷体_GB2312"/>
          <w:color w:val="000000"/>
          <w:sz w:val="32"/>
          <w:szCs w:val="32"/>
        </w:rPr>
        <w:t>注：高校除了按照国家统一部署、做好本科教育教学评估工作外，还应根据《总体方案》关于“突出思想政治教育、教授为本科生上课、生师比、生均课程门数、优势特色专业、学位论文（毕业设计）指导、学生管理与服务、学生参加社会实践、毕业生发展、用人单位满意度等”等改进本科教育教学评估的具体要求，主动审视、改进本校本科教育教学和评价相关工作，提出相关举措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“改进学科评估，强化人才培养中心地位，淡化论文收录数、引用率、奖项数等数量指标，突出学科特色、质量和贡献，纠正片面以学术头衔评价学术水平的做法，教师成果严格按署名单位认定、不随人走”；</w:t>
      </w: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注：</w:t>
      </w:r>
      <w:r>
        <w:rPr>
          <w:rFonts w:ascii="楷体_GB2312" w:hAnsi="Times New Roman" w:eastAsia="楷体_GB2312"/>
          <w:color w:val="000000"/>
          <w:sz w:val="32"/>
          <w:szCs w:val="32"/>
        </w:rPr>
        <w:t>高校除了按照国家统一部署、做好第五轮学科评估工作外，还应根据《总体方案》关于“强化人才培养中心地位，淡化论文收录数、引用率、奖项数等数量指标，突出学科特色、质量和贡献，纠正片面以学术头衔评价学术水平的做法”等改进学科评估的具体要求，主动审视、改进本校学科建设和评价相关工作，提出相关举措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本条主要适用“双一流”高校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）“制定‘双一流’建设成效评价办法，突出培养一流人才、产出一流成果、主动服务国家需求，引导高校争创世界一流”；</w:t>
      </w: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楷体_GB2312"/>
          <w:color w:val="000000"/>
          <w:sz w:val="32"/>
          <w:szCs w:val="32"/>
        </w:rPr>
        <w:t>注：有关高校除了按照国家统一部署、做好“双一流”评价相关工作外，还应根据《总体方案》关于“突出培养一流人才、产出一流成果、主动服务国家需求”的具体要求，主动审视、改进本校“双一流”建设和评价相关工作，提出相关举措。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本条主要适用师范类高校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）“改进师范院校评价，把办好师范教育作为第一职责，将培养合格教师作为主要考核指标”；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“改进高校经费使用绩效评价，引导高校加大对教育教学、基础研究的支持力度”；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“改进高校国际交流合作评价，促进提升校际交流、来华留学、合作办学、海外人才引进等工作质量”；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“探索开展高校服务全民终身学习情况评价，促进学习型社会建设”；</w:t>
      </w:r>
    </w:p>
    <w:p>
      <w:pPr>
        <w:snapToGrid w:val="0"/>
        <w:spacing w:line="360" w:lineRule="auto"/>
        <w:ind w:firstLine="643" w:firstLineChars="200"/>
        <w:rPr>
          <w:rFonts w:ascii="Times New Roman" w:hAnsi="Times New Roman" w:eastAsia="黑体"/>
          <w:b/>
          <w:color w:val="00000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sz w:val="32"/>
          <w:szCs w:val="32"/>
        </w:rPr>
        <w:t>改革教师评价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“把师德表现作为教师资格定期注册、业绩考核、职称评聘、评优奖励首要要求，强化教师思想政治素质考察”；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“健全教师荣誉制度，发挥典型示范引领作用”；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“全面落实新时代……高校教师职业行为准则，建立师德失范行为通报警示制度”；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color w:val="000000"/>
          <w:sz w:val="32"/>
          <w:szCs w:val="32"/>
        </w:rPr>
        <w:t>把认真履行教育教学职责作为评价教师的基本要求，引导教师上好每一节课、关爱每一个学生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“规范高校教师聘用和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职称</w:t>
      </w:r>
      <w:r>
        <w:rPr>
          <w:rFonts w:ascii="Times New Roman" w:hAnsi="Times New Roman" w:eastAsia="仿宋_GB2312"/>
          <w:color w:val="000000"/>
          <w:sz w:val="32"/>
          <w:szCs w:val="32"/>
        </w:rPr>
        <w:t>评聘条件设置，不得将国（境）外学习经历作为限制性条件”；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“把参与教研活动，编写教材、案例，指导学生毕业设计、就业、创新创业、社会实践、社团活动、竞赛展演等计入工作量”；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“落实教授上课制度，高校应明确教授承担本（专）科生教学最低课时要求，确保教学质量，对未达到要求的给予年度或聘期考核不合格处理”；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“支持建设高质量教学研究类学术期刊，鼓励高校学报向教学研究倾斜”；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“完善教材质量监控和评价机制”；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“完善国家教学成果奖评选制度”；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“各级各类学校要明确领导干部和教师参与学生工作的具体要求”；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“高校领导班子成员年度述职要把上思政课、联系学生情况作为重要内容”；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“完善学校党政管理干部选拔任用机制，原则上应有思政课教师、辅导员或班主任等学生工作经历”；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“高校青年教师晋升高一级职称，至少须有一年担任辅导员、班主任等学生工作经历”；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“突出质量导向，重点评价学术贡献、社会贡献以及支撑人才培养情况，不得将论文数、项目数、课题经费等科研量化指标与绩效工资分配、奖励挂钩”；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“根据不同学科、不同岗位特点，坚持分类评价，推行代表性成果评价，探索长周期评价，完善同行专家评议机制，注重个人评价与团队评价相结合”；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“探索国防科技等特殊领域教师科研专门评价办法”；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“对取得重大理论创新成果、前沿技术突破、解决重大工程技术难题、在经济社会事业发展中作出重大贡献的，申报高级职称时论文可不作限制性要求”；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“切实精简人才‘帽子’，优化整合涉教育领域各类人才计划”；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“不得把人才称号作为承担科研项目、职称评聘、评优评奖、学位点申报的限制性条件，有关申报书不得设置填写人才称号栏目”；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“依据实际贡献合理确定人才薪酬，不得将人才称号与物质利益简单挂钩”；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b/>
          <w:color w:val="000000"/>
          <w:sz w:val="32"/>
          <w:szCs w:val="32"/>
        </w:rPr>
        <w:t>只适用中西部、东北地区高校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）“鼓励中西部、东北地区高校‘长江学者’等人才称号入选者与学校签订长期服务合同，为实施国家和区域发展战略贡献力量”；</w:t>
      </w:r>
    </w:p>
    <w:p>
      <w:pPr>
        <w:snapToGrid w:val="0"/>
        <w:spacing w:line="360" w:lineRule="auto"/>
        <w:ind w:firstLine="643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sz w:val="32"/>
          <w:szCs w:val="32"/>
        </w:rPr>
        <w:t>改革学生评价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“根据学生不同阶段身心特点，科学设计各级各类教育德育目标要求”；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“建立日常参与、体质监测和专项运动技能测试相结合的考查机制，将达到国家学生体质健康标准要求作为教育教学考核的重要内容”；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“加强大学生体育评价，探索在高等教育所有阶段开设体育课程”；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“将公共艺术课程与艺术实践纳入人才培养方案，实行学分制管理，学生修满规定学分方能毕业”；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“明确不同学段、不同年级劳动教育的目标要求，引导学生崇尚劳动、尊重劳动”；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“探索建立劳动清单制度，明确学生参加劳动的具体内容和要求，让学生在实践中养成劳动习惯，学会劳动、学会勤俭”；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“完善各级各类学校学生学业要求，严把出口关”；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“完善过程性考核与结果性考核有机结合的学业考评制度，加强课堂参与和课堂纪律考查，引导学生树立良好学风”；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“探索学士学位论文（毕业设计）抽检试点工作”；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“完善博士、硕士学位论文抽检工作，严肃处理各类学术不端行为”；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“完善实习（实训）考核办法，确保学生足额、真实参加实习（实训）”；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“加快完善初、高中学生综合素质档案建设和使用办法，逐步转变简单以考试成绩为唯一标准的招生模式”；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“深化研究生考试招生改革，加强科研创新能力和实践能力考查”；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“各级各类学校不得通过设置奖金等方式违规争抢生源”；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“推动多种形式学习成果的认定、积累和转换，实现不同类型教育、学历与非学历教育、校内与校外教育之间互通衔接，畅通终身学习和人才成长渠道”；</w:t>
      </w:r>
    </w:p>
    <w:p>
      <w:pPr>
        <w:snapToGrid w:val="0"/>
        <w:spacing w:line="360" w:lineRule="auto"/>
        <w:ind w:firstLine="643" w:firstLineChars="200"/>
        <w:rPr>
          <w:rFonts w:ascii="Times New Roman" w:hAnsi="Times New Roman" w:eastAsia="黑体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改革用人评价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“招聘要按照岗位需求合理制定招考条件、确定学历层次，在招聘公告和实际操作中不得将毕业院校、国（境）外学习经历、学习方式作为限制性条件”；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“科学合理确定岗位职责，坚持以岗定薪、按劳取酬、优劳优酬，建立重实绩、重贡献的激励机制”；</w:t>
      </w:r>
    </w:p>
    <w:p>
      <w:pPr>
        <w:snapToGrid w:val="0"/>
        <w:spacing w:line="360" w:lineRule="auto"/>
        <w:ind w:firstLine="643" w:firstLineChars="200"/>
        <w:rPr>
          <w:rFonts w:ascii="Times New Roman" w:hAnsi="Times New Roman" w:eastAsia="黑体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组织实施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“严格控制教育评价活动数量和频次，减少多头评价、重复评价，切实减轻基层……负担”；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“创新评价工具，利用人工智能、大数据等现代信息技术，探索开展学生各年级学习情况全过程纵向评价、德智体美劳全要素横向评价”；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“加强教师教育评价能力建设，支持有条件的高校设立教育评价、教育测量等相关学科专业，培养教育评价专门人才”；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“加强国家教育考试工作队伍建设，完善教师参与命题和考务工作的激励机制”；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“加大对科学教育理念和改革政策的宣传解读力度，合理引导预期，增进社会共识”；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“及时总结、宣传、推广教育评价改革的成功经验和典型案例，扩大辐射面，提高影响力”；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E6"/>
    <w:rsid w:val="001D3323"/>
    <w:rsid w:val="00210FBA"/>
    <w:rsid w:val="006A20E6"/>
    <w:rsid w:val="0097354A"/>
    <w:rsid w:val="170E41F7"/>
    <w:rsid w:val="1CDB3156"/>
    <w:rsid w:val="3D6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445</Words>
  <Characters>2540</Characters>
  <Lines>21</Lines>
  <Paragraphs>5</Paragraphs>
  <TotalTime>323</TotalTime>
  <ScaleCrop>false</ScaleCrop>
  <LinksUpToDate>false</LinksUpToDate>
  <CharactersWithSpaces>2980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2021-02-09T01:05:00Z</dcterms:created>
  <dc:creator>zc</dc:creator>
  <cp:lastModifiedBy>陈思远</cp:lastModifiedBy>
  <dcterms:modified xsi:type="dcterms:W3CDTF">2021-03-11T07:53:24Z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