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5"/>
        </w:tabs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件4</w:t>
      </w:r>
    </w:p>
    <w:p>
      <w:pPr>
        <w:spacing w:line="44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遴选推荐参考指标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课件</w:t>
      </w:r>
    </w:p>
    <w:tbl>
      <w:tblPr>
        <w:tblStyle w:val="2"/>
        <w:tblW w:w="7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5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57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57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8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高等教育组作品的使用量应达到一定规模。</w:t>
            </w:r>
          </w:p>
        </w:tc>
      </w:tr>
    </w:tbl>
    <w:p>
      <w:pPr>
        <w:spacing w:line="500" w:lineRule="exact"/>
        <w:ind w:left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2.微课</w:t>
      </w:r>
    </w:p>
    <w:tbl>
      <w:tblPr>
        <w:tblStyle w:val="2"/>
        <w:tblW w:w="7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3.信息化教学课程案例</w:t>
      </w:r>
    </w:p>
    <w:tbl>
      <w:tblPr>
        <w:tblStyle w:val="2"/>
        <w:tblW w:w="7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9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579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579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9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7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9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>
      <w:pPr>
        <w:spacing w:line="480" w:lineRule="exact"/>
        <w:ind w:firstLine="540"/>
        <w:rPr>
          <w:rFonts w:ascii="楷体_GB2312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融合创新管理案例</w:t>
      </w:r>
    </w:p>
    <w:tbl>
      <w:tblPr>
        <w:tblStyle w:val="2"/>
        <w:tblW w:w="7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5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设计理念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顶层设计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与教育教学改革深度融合。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实施过程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与信息技术深度融合，转变传统的管理方式；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形成基于信息化的教育教学管理模式。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应用效果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jI4ZDNiYzdhNDZiZWM3ZDdjMDJkZTk0OTIyNjAifQ=="/>
  </w:docVars>
  <w:rsids>
    <w:rsidRoot w:val="05890322"/>
    <w:rsid w:val="058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2022-06-02T02:45:00Z</dcterms:created>
  <dc:creator>仙气满满</dc:creator>
  <cp:lastModifiedBy>仙气满满</cp:lastModifiedBy>
  <dcterms:modified xsi:type="dcterms:W3CDTF">2022-06-02T02:48:53Z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9936F7FA4FE740ECB4ED141206D66CD2</vt:lpwstr>
  </property>
</Properties>
</file>