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25" w:rsidRPr="00486637" w:rsidRDefault="008D59D2">
      <w:pPr>
        <w:jc w:val="center"/>
        <w:rPr>
          <w:rFonts w:ascii="方正小标宋简体" w:eastAsia="方正小标宋简体" w:hAnsi="仿宋" w:cs="仿宋" w:hint="eastAsia"/>
          <w:b/>
          <w:bCs/>
          <w:sz w:val="36"/>
          <w:szCs w:val="36"/>
        </w:rPr>
      </w:pPr>
      <w:r w:rsidRPr="00486637">
        <w:rPr>
          <w:rFonts w:ascii="方正小标宋简体" w:eastAsia="方正小标宋简体" w:hAnsi="仿宋" w:cs="仿宋" w:hint="eastAsia"/>
          <w:b/>
          <w:bCs/>
          <w:sz w:val="36"/>
          <w:szCs w:val="36"/>
        </w:rPr>
        <w:t>东北大学中荷生物学院介绍</w:t>
      </w:r>
    </w:p>
    <w:p w:rsidR="008B7B25" w:rsidRPr="00486637" w:rsidRDefault="008D59D2" w:rsidP="00486637">
      <w:pPr>
        <w:jc w:val="center"/>
        <w:rPr>
          <w:rFonts w:ascii="仿宋_GB2312" w:eastAsia="仿宋_GB2312" w:hAnsi="仿宋" w:cs="仿宋" w:hint="eastAsia"/>
          <w:sz w:val="32"/>
          <w:szCs w:val="32"/>
        </w:rPr>
      </w:pPr>
      <w:r w:rsidRPr="00486637">
        <w:rPr>
          <w:rFonts w:ascii="仿宋_GB2312" w:eastAsia="仿宋_GB2312" w:hAnsi="仿宋" w:cs="仿宋" w:hint="eastAsia"/>
          <w:sz w:val="32"/>
          <w:szCs w:val="32"/>
        </w:rPr>
        <w:t>（中外合作办学机构）</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一、基本概况</w:t>
      </w:r>
    </w:p>
    <w:p w:rsidR="007D655F" w:rsidRPr="00486637" w:rsidRDefault="007D655F" w:rsidP="007D655F">
      <w:pPr>
        <w:rPr>
          <w:rFonts w:ascii="仿宋_GB2312" w:eastAsia="仿宋_GB2312" w:hAnsi="仿宋" w:cs="仿宋" w:hint="eastAsia"/>
          <w:sz w:val="32"/>
          <w:szCs w:val="32"/>
        </w:rPr>
      </w:pPr>
      <w:r w:rsidRPr="00486637">
        <w:rPr>
          <w:rFonts w:ascii="宋体" w:eastAsia="仿宋_GB2312" w:hAnsi="宋体" w:cs="宋体" w:hint="eastAsia"/>
          <w:sz w:val="32"/>
          <w:szCs w:val="32"/>
        </w:rPr>
        <w:t>  </w:t>
      </w:r>
      <w:r w:rsidRPr="00486637">
        <w:rPr>
          <w:rFonts w:ascii="仿宋_GB2312" w:eastAsia="仿宋_GB2312" w:hAnsi="仿宋" w:cs="仿宋" w:hint="eastAsia"/>
          <w:sz w:val="32"/>
          <w:szCs w:val="32"/>
        </w:rPr>
        <w:t>中荷学院成立于2005年8月26日，是在东北大学信息科学与工程学院生物医学工程和电子信息工程专业基础上，经国家教育部批准由东北大学与荷兰埃因霍温科技大学联合创建，学院实行联合管理委员会领导下的院长负责制，学院设有生物医学工程专业，具有学士学位、硕士学位和一级学科博士学位授予权。</w:t>
      </w:r>
      <w:r w:rsidRPr="00486637">
        <w:rPr>
          <w:rFonts w:ascii="宋体" w:eastAsia="仿宋_GB2312" w:hAnsi="宋体" w:cs="宋体" w:hint="eastAsia"/>
          <w:sz w:val="32"/>
          <w:szCs w:val="32"/>
        </w:rPr>
        <w:t>  </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二、师资力量</w:t>
      </w:r>
    </w:p>
    <w:p w:rsidR="007D655F" w:rsidRPr="00486637" w:rsidRDefault="007D655F" w:rsidP="007D655F">
      <w:pPr>
        <w:rPr>
          <w:rFonts w:ascii="仿宋_GB2312" w:eastAsia="仿宋_GB2312" w:hAnsi="仿宋" w:cs="仿宋" w:hint="eastAsia"/>
          <w:sz w:val="32"/>
          <w:szCs w:val="32"/>
        </w:rPr>
      </w:pPr>
      <w:r w:rsidRPr="00486637">
        <w:rPr>
          <w:rFonts w:ascii="宋体" w:eastAsia="仿宋_GB2312" w:hAnsi="宋体" w:cs="宋体" w:hint="eastAsia"/>
          <w:sz w:val="32"/>
          <w:szCs w:val="32"/>
        </w:rPr>
        <w:t>  </w:t>
      </w:r>
      <w:r w:rsidRPr="00486637">
        <w:rPr>
          <w:rFonts w:ascii="仿宋_GB2312" w:eastAsia="仿宋_GB2312" w:hAnsi="仿宋" w:cs="仿宋" w:hint="eastAsia"/>
          <w:sz w:val="32"/>
          <w:szCs w:val="32"/>
        </w:rPr>
        <w:t>强大的师资队伍是培养杰出学术与行业人才的有力保障。学院现有教职工57名，其中教授5人（含中组部“千人计划”长期特聘教授2人），副教授12人，博士生导师10人。教师队伍中包含美国医学与生物工程</w:t>
      </w:r>
      <w:proofErr w:type="gramStart"/>
      <w:r w:rsidRPr="00486637">
        <w:rPr>
          <w:rFonts w:ascii="仿宋_GB2312" w:eastAsia="仿宋_GB2312" w:hAnsi="仿宋" w:cs="仿宋" w:hint="eastAsia"/>
          <w:sz w:val="32"/>
          <w:szCs w:val="32"/>
        </w:rPr>
        <w:t>院</w:t>
      </w:r>
      <w:proofErr w:type="gramEnd"/>
      <w:r w:rsidRPr="00486637">
        <w:rPr>
          <w:rFonts w:ascii="仿宋_GB2312" w:eastAsia="仿宋_GB2312" w:hAnsi="仿宋" w:cs="仿宋" w:hint="eastAsia"/>
          <w:sz w:val="32"/>
          <w:szCs w:val="32"/>
        </w:rPr>
        <w:t>院士1人，美国国家发明家科学院院士/美国IEEE院士/加拿大工程院院院士1人。</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三、学科建设</w:t>
      </w:r>
    </w:p>
    <w:p w:rsidR="007D655F" w:rsidRPr="00486637" w:rsidRDefault="007D655F" w:rsidP="007D655F">
      <w:pPr>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    2006年获生物医学工程学科一级学科博士学位授予权，2008年成为省重点学科，2014年获批生物医学工程博士后科研流动站。近年来，重点建设辽宁省2011协同创新中心、医学影像计算教育部重点实验室、医学成像与智能分析教育部工程研究中心、辽宁省重点学科、国际化示范学院等。本</w:t>
      </w:r>
      <w:r w:rsidRPr="00486637">
        <w:rPr>
          <w:rFonts w:ascii="仿宋_GB2312" w:eastAsia="仿宋_GB2312" w:hAnsi="仿宋" w:cs="仿宋" w:hint="eastAsia"/>
          <w:sz w:val="32"/>
          <w:szCs w:val="32"/>
        </w:rPr>
        <w:lastRenderedPageBreak/>
        <w:t>学科在2012年全国一级学科评估中排名第17。学科规划上，重点发展精准医疗、生物医学信息学、生物医学影像学、生物医学仪器、生物医学材料与康复工程、生物医学光子学。</w:t>
      </w:r>
      <w:r w:rsidRPr="00486637">
        <w:rPr>
          <w:rFonts w:ascii="宋体" w:eastAsia="仿宋_GB2312" w:hAnsi="宋体" w:cs="宋体" w:hint="eastAsia"/>
          <w:sz w:val="32"/>
          <w:szCs w:val="32"/>
        </w:rPr>
        <w:t>  </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四、专业设置</w:t>
      </w:r>
    </w:p>
    <w:p w:rsidR="007D655F" w:rsidRPr="00486637" w:rsidRDefault="007D655F" w:rsidP="007D655F">
      <w:pPr>
        <w:rPr>
          <w:rFonts w:ascii="仿宋_GB2312" w:eastAsia="仿宋_GB2312" w:hAnsi="仿宋" w:cs="仿宋" w:hint="eastAsia"/>
          <w:sz w:val="32"/>
          <w:szCs w:val="32"/>
        </w:rPr>
      </w:pPr>
      <w:r w:rsidRPr="00486637">
        <w:rPr>
          <w:rFonts w:ascii="宋体" w:eastAsia="仿宋_GB2312" w:hAnsi="宋体" w:cs="宋体" w:hint="eastAsia"/>
          <w:sz w:val="32"/>
          <w:szCs w:val="32"/>
        </w:rPr>
        <w:t>  </w:t>
      </w:r>
      <w:r w:rsidRPr="00486637">
        <w:rPr>
          <w:rFonts w:ascii="仿宋_GB2312" w:eastAsia="仿宋_GB2312" w:hAnsi="仿宋" w:cs="仿宋" w:hint="eastAsia"/>
          <w:sz w:val="32"/>
          <w:szCs w:val="32"/>
        </w:rPr>
        <w:t>本专业拥有国家一级学科博士学位授予权，研究方向丰富，多样化人才培养模式，培养过程中注重理论与实践相结合，强调学生英语应用能力和国际化沟通能力的培养，毕业生深造率、出国率高。在教学过程中注重与国际接轨，强调实践环节。在课程体系设置中引入埃因霍温科技大学DCL（Design Centered Learning，以项目为中心的学习）全新教学模式，同时安排了一线工程技术人员指导的实践环节。本专业设立普通班、国际班、尖子班、卓越班，因材施教并单独制定培养计划。在培养过程中，培养计划及课程设置相对独立且充分体现“产学研</w:t>
      </w:r>
      <w:proofErr w:type="gramStart"/>
      <w:r w:rsidRPr="00486637">
        <w:rPr>
          <w:rFonts w:ascii="仿宋_GB2312" w:eastAsia="仿宋_GB2312" w:hAnsi="仿宋" w:cs="仿宋" w:hint="eastAsia"/>
          <w:sz w:val="32"/>
          <w:szCs w:val="32"/>
        </w:rPr>
        <w:t>医</w:t>
      </w:r>
      <w:proofErr w:type="gramEnd"/>
      <w:r w:rsidRPr="00486637">
        <w:rPr>
          <w:rFonts w:ascii="仿宋_GB2312" w:eastAsia="仿宋_GB2312" w:hAnsi="仿宋" w:cs="仿宋" w:hint="eastAsia"/>
          <w:sz w:val="32"/>
          <w:szCs w:val="32"/>
        </w:rPr>
        <w:t>相结合，国际化，学科交叉”的人才培养特色，实现合作三方在人才培养与科学研究方面的互动、互惠、共享、共赢。</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五、人才培养</w:t>
      </w:r>
    </w:p>
    <w:p w:rsidR="007D655F" w:rsidRPr="00486637" w:rsidRDefault="007D655F" w:rsidP="007D655F">
      <w:pPr>
        <w:rPr>
          <w:rFonts w:ascii="仿宋_GB2312" w:eastAsia="仿宋_GB2312" w:hAnsi="仿宋" w:cs="仿宋" w:hint="eastAsia"/>
          <w:sz w:val="32"/>
          <w:szCs w:val="32"/>
        </w:rPr>
      </w:pPr>
      <w:r w:rsidRPr="00486637">
        <w:rPr>
          <w:rFonts w:ascii="宋体" w:eastAsia="仿宋_GB2312" w:hAnsi="宋体" w:cs="宋体" w:hint="eastAsia"/>
          <w:sz w:val="32"/>
          <w:szCs w:val="32"/>
        </w:rPr>
        <w:t>  </w:t>
      </w:r>
      <w:r w:rsidRPr="00486637">
        <w:rPr>
          <w:rFonts w:ascii="仿宋_GB2312" w:eastAsia="仿宋_GB2312" w:hAnsi="仿宋" w:cs="仿宋" w:hint="eastAsia"/>
          <w:sz w:val="32"/>
          <w:szCs w:val="32"/>
        </w:rPr>
        <w:t>本专业旨在培养具有较强的知识学习能力和创新能力的医学与工程相结合的复合型专业人才。毕业后可在国内外医疗器械等相关行业的企事业单位从事工程技术开发、服务、管理和教育等工作或继续深造。目前生物医学工程的主</w:t>
      </w:r>
      <w:r w:rsidRPr="00486637">
        <w:rPr>
          <w:rFonts w:ascii="仿宋_GB2312" w:eastAsia="仿宋_GB2312" w:hAnsi="仿宋" w:cs="仿宋" w:hint="eastAsia"/>
          <w:sz w:val="32"/>
          <w:szCs w:val="32"/>
        </w:rPr>
        <w:lastRenderedPageBreak/>
        <w:t>要研究领域和专业范围包括：生物力学、生物医学材料、生物系</w:t>
      </w:r>
      <w:proofErr w:type="gramStart"/>
      <w:r w:rsidRPr="00486637">
        <w:rPr>
          <w:rFonts w:ascii="仿宋_GB2312" w:eastAsia="仿宋_GB2312" w:hAnsi="仿宋" w:cs="仿宋" w:hint="eastAsia"/>
          <w:sz w:val="32"/>
          <w:szCs w:val="32"/>
        </w:rPr>
        <w:t>统建模与仿真</w:t>
      </w:r>
      <w:proofErr w:type="gramEnd"/>
      <w:r w:rsidRPr="00486637">
        <w:rPr>
          <w:rFonts w:ascii="仿宋_GB2312" w:eastAsia="仿宋_GB2312" w:hAnsi="仿宋" w:cs="仿宋" w:hint="eastAsia"/>
          <w:sz w:val="32"/>
          <w:szCs w:val="32"/>
        </w:rPr>
        <w:t>、生物医学信息检测、处理与传输、生物医学成像与图像处理、康复工程、计算生物学和生物信息学、生物电子学、生物医学光子学、医学仪器等。本专业以培养高层次、医学与工程相结合的国际化高级人才为目标，毕业生对生物医学工程需有较深的理解，对工程技术具有较扎实的基础和实践操作能力，以及在特定专业领域中具有系统深入的专业技能。</w:t>
      </w:r>
    </w:p>
    <w:p w:rsidR="007D655F" w:rsidRPr="00486637" w:rsidRDefault="007D655F"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六、就业深造</w:t>
      </w:r>
    </w:p>
    <w:p w:rsidR="007D655F" w:rsidRPr="00486637" w:rsidRDefault="007D655F" w:rsidP="007D655F">
      <w:pPr>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    学院始终坚持“以学生为本”的工作理念，以提升毕业生就业满意度，助力学生成长成才为目标。一方面，不断完善高质量就业市场建设，抢占优质就业资源；另一方面，大力加强就业指导与服务，提升学生就业核心竞争力。近年来，近半数毕业生到国内外知名院校深造，其他毕业生主要集中到医疗健康、信息通讯、软件服务等专业相关知名企业就业。</w:t>
      </w:r>
    </w:p>
    <w:p w:rsidR="007D655F" w:rsidRPr="00486637" w:rsidRDefault="007D655F" w:rsidP="007D655F">
      <w:pPr>
        <w:rPr>
          <w:rFonts w:ascii="仿宋_GB2312" w:eastAsia="仿宋_GB2312" w:hAnsi="仿宋" w:cs="仿宋" w:hint="eastAsia"/>
          <w:sz w:val="32"/>
          <w:szCs w:val="32"/>
        </w:rPr>
      </w:pPr>
      <w:r w:rsidRPr="00486637">
        <w:rPr>
          <w:rFonts w:ascii="宋体" w:eastAsia="仿宋_GB2312" w:hAnsi="宋体" w:cs="宋体" w:hint="eastAsia"/>
          <w:sz w:val="32"/>
          <w:szCs w:val="32"/>
        </w:rPr>
        <w:t> </w:t>
      </w:r>
    </w:p>
    <w:p w:rsidR="007D655F" w:rsidRPr="00486637" w:rsidRDefault="007D655F" w:rsidP="007D655F">
      <w:pPr>
        <w:rPr>
          <w:rFonts w:ascii="仿宋_GB2312" w:eastAsia="仿宋_GB2312" w:hAnsi="仿宋" w:cs="仿宋" w:hint="eastAsia"/>
          <w:sz w:val="32"/>
          <w:szCs w:val="32"/>
        </w:rPr>
      </w:pPr>
    </w:p>
    <w:p w:rsidR="007D655F" w:rsidRPr="00486637" w:rsidRDefault="007D655F" w:rsidP="007D655F">
      <w:pPr>
        <w:rPr>
          <w:rFonts w:ascii="仿宋_GB2312" w:eastAsia="仿宋_GB2312" w:hAnsi="仿宋" w:cs="仿宋" w:hint="eastAsia"/>
          <w:sz w:val="32"/>
          <w:szCs w:val="32"/>
        </w:rPr>
      </w:pPr>
    </w:p>
    <w:p w:rsidR="00B0586F" w:rsidRPr="00486637" w:rsidRDefault="00B0586F">
      <w:pPr>
        <w:widowControl/>
        <w:jc w:val="left"/>
        <w:rPr>
          <w:rFonts w:ascii="仿宋_GB2312" w:eastAsia="仿宋_GB2312" w:hAnsi="仿宋" w:cs="仿宋" w:hint="eastAsia"/>
          <w:sz w:val="32"/>
          <w:szCs w:val="32"/>
        </w:rPr>
      </w:pPr>
      <w:r w:rsidRPr="00486637">
        <w:rPr>
          <w:rFonts w:ascii="仿宋_GB2312" w:eastAsia="仿宋_GB2312" w:hAnsi="仿宋" w:cs="仿宋" w:hint="eastAsia"/>
          <w:sz w:val="32"/>
          <w:szCs w:val="32"/>
        </w:rPr>
        <w:br w:type="page"/>
      </w:r>
    </w:p>
    <w:p w:rsidR="008B7B25" w:rsidRPr="00486637" w:rsidRDefault="008D59D2">
      <w:pPr>
        <w:jc w:val="center"/>
        <w:rPr>
          <w:rFonts w:ascii="方正小标宋简体" w:eastAsia="方正小标宋简体" w:hAnsi="仿宋" w:cs="仿宋" w:hint="eastAsia"/>
          <w:b/>
          <w:bCs/>
          <w:sz w:val="36"/>
          <w:szCs w:val="36"/>
        </w:rPr>
      </w:pPr>
      <w:r w:rsidRPr="00486637">
        <w:rPr>
          <w:rFonts w:ascii="方正小标宋简体" w:eastAsia="方正小标宋简体" w:hAnsi="仿宋" w:cs="仿宋" w:hint="eastAsia"/>
          <w:b/>
          <w:bCs/>
          <w:sz w:val="36"/>
          <w:szCs w:val="36"/>
        </w:rPr>
        <w:lastRenderedPageBreak/>
        <w:t>软件工程专业（应用型）硕士研究生教育项目</w:t>
      </w:r>
    </w:p>
    <w:p w:rsidR="008B7B25" w:rsidRPr="00486637" w:rsidRDefault="008D59D2">
      <w:pPr>
        <w:jc w:val="center"/>
        <w:rPr>
          <w:rFonts w:ascii="仿宋_GB2312" w:eastAsia="仿宋_GB2312" w:hAnsi="仿宋" w:cs="仿宋" w:hint="eastAsia"/>
          <w:sz w:val="32"/>
          <w:szCs w:val="32"/>
        </w:rPr>
      </w:pPr>
      <w:r w:rsidRPr="00486637">
        <w:rPr>
          <w:rFonts w:ascii="仿宋_GB2312" w:eastAsia="仿宋_GB2312" w:hAnsi="仿宋" w:cs="仿宋" w:hint="eastAsia"/>
          <w:sz w:val="32"/>
          <w:szCs w:val="32"/>
        </w:rPr>
        <w:t>（中外合作办学项目）</w:t>
      </w:r>
    </w:p>
    <w:p w:rsidR="00F717E3" w:rsidRDefault="00F717E3" w:rsidP="00486637">
      <w:pPr>
        <w:ind w:firstLineChars="200" w:firstLine="640"/>
        <w:rPr>
          <w:rFonts w:ascii="仿宋_GB2312" w:eastAsia="仿宋_GB2312" w:hAnsi="仿宋" w:cs="仿宋" w:hint="eastAsia"/>
          <w:sz w:val="32"/>
          <w:szCs w:val="32"/>
        </w:rPr>
      </w:pP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一、项目简介</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东北大学与美国德克萨斯大学阿灵顿分校（学校简介详见附件1）合作举办软件工程专业硕士研究生教育项目于2018年8月获批，是东北大学首个硕士研究生教育的中外合作办学项目。项目承办单位东北大学软件学院秉承“自强不息，知行合一”的东北大学校训，以“开放、包容、求是、创新”为办学理念，以“培养实用性、复合型、国际化拔尖创新创业型精英人才”为培养目标，与美国德克萨斯大学阿灵顿分校合作，引进该校工程学院下属的计算机科学与工程系的优质教育教学理念和资源，致力于培养掌握中英文双语、通晓软件工程领域知识、具有全球化专业视角以及能适应多文化工作环境的高级软件人才。</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东北大学与德克萨斯大学阿灵顿分校将依托双方在软件工程和计算机科学的教育优势，充分借鉴国际先进的教育理念和教育经验，充分利用双方师资等教学资源，以培养目标为导向，落实教育项目细节，打造软件工程学科国际化办学的品牌中外合作办学项目。</w:t>
      </w:r>
    </w:p>
    <w:p w:rsidR="008B7B25" w:rsidRPr="00486637" w:rsidRDefault="008D59D2">
      <w:pPr>
        <w:numPr>
          <w:ilvl w:val="0"/>
          <w:numId w:val="1"/>
        </w:numPr>
        <w:ind w:firstLine="432"/>
        <w:rPr>
          <w:rFonts w:ascii="仿宋_GB2312" w:eastAsia="仿宋_GB2312" w:hAnsi="仿宋" w:cs="仿宋" w:hint="eastAsia"/>
          <w:sz w:val="32"/>
          <w:szCs w:val="32"/>
        </w:rPr>
      </w:pPr>
      <w:r w:rsidRPr="00486637">
        <w:rPr>
          <w:rFonts w:ascii="仿宋_GB2312" w:eastAsia="仿宋_GB2312" w:hAnsi="仿宋" w:cs="仿宋" w:hint="eastAsia"/>
          <w:sz w:val="32"/>
          <w:szCs w:val="32"/>
        </w:rPr>
        <w:t>研究方向</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软件服务技术与应用</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lastRenderedPageBreak/>
        <w:t>网络信息系统安全技术与应用</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基于混合现实的交互式软件开发技术</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云计算技术及应用</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移动互联网技术与应用</w:t>
      </w:r>
    </w:p>
    <w:p w:rsidR="008B7B25" w:rsidRPr="00486637" w:rsidRDefault="008D59D2" w:rsidP="00486637">
      <w:pPr>
        <w:numPr>
          <w:ilvl w:val="0"/>
          <w:numId w:val="2"/>
        </w:num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复杂网络及混沌分形应用技术</w:t>
      </w:r>
    </w:p>
    <w:p w:rsidR="008B7B25" w:rsidRPr="00486637" w:rsidRDefault="008B7B25" w:rsidP="008D59D2">
      <w:pPr>
        <w:ind w:leftChars="200" w:left="420"/>
        <w:rPr>
          <w:rFonts w:ascii="仿宋_GB2312" w:eastAsia="仿宋_GB2312" w:hAnsi="仿宋" w:cs="仿宋" w:hint="eastAsia"/>
          <w:sz w:val="32"/>
          <w:szCs w:val="32"/>
        </w:rPr>
      </w:pP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三、招生考试</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该项目纳入东北大学硕士研究生招生计划，报名及考试安排与东北大学硕士研究生招生报名及考试相关要求一致，考生可登陆东北大学研究生院查看相关通知及要求。本项目在复试阶段征集志愿。</w:t>
      </w:r>
    </w:p>
    <w:p w:rsidR="008B7B25" w:rsidRPr="00486637" w:rsidRDefault="008D59D2">
      <w:pPr>
        <w:pStyle w:val="1"/>
        <w:numPr>
          <w:ilvl w:val="0"/>
          <w:numId w:val="3"/>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初试</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考试科目： ①101 思想政治理论 ②204 英语二 ③302 数学二  ④858 C语言程序设计与数据结构</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参考书目：金名等译，《标准C程序设计》(第五版)，清华大学出版社，2011.9。 严蔚敏，吴伟民编著《数据结构》（C语言版）清华大学出版社 2011.11</w:t>
      </w:r>
    </w:p>
    <w:p w:rsidR="008B7B25" w:rsidRPr="00486637" w:rsidRDefault="008D59D2">
      <w:pPr>
        <w:pStyle w:val="1"/>
        <w:numPr>
          <w:ilvl w:val="0"/>
          <w:numId w:val="3"/>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复试</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复试内容：专业课笔试、综合面试。</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笔试科目：面向对象软件工程</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笔试参考书：《面向对象软件工程》（中文版）, 作者：（美）沙赫查著，黄林鹏，</w:t>
      </w:r>
      <w:r w:rsidRPr="00486637">
        <w:rPr>
          <w:rFonts w:ascii="仿宋_GB2312" w:eastAsia="仿宋" w:hAnsi="仿宋" w:cs="仿宋" w:hint="eastAsia"/>
          <w:sz w:val="32"/>
          <w:szCs w:val="32"/>
        </w:rPr>
        <w:t>俆</w:t>
      </w:r>
      <w:r w:rsidRPr="00486637">
        <w:rPr>
          <w:rFonts w:ascii="仿宋_GB2312" w:eastAsia="仿宋_GB2312" w:hAnsi="仿宋" w:cs="仿宋" w:hint="eastAsia"/>
          <w:sz w:val="32"/>
          <w:szCs w:val="32"/>
        </w:rPr>
        <w:t>小辉，伍建</w:t>
      </w:r>
      <w:r w:rsidRPr="00486637">
        <w:rPr>
          <w:rFonts w:ascii="仿宋_GB2312" w:eastAsia="仿宋" w:hAnsi="仿宋" w:cs="仿宋" w:hint="eastAsia"/>
          <w:sz w:val="32"/>
          <w:szCs w:val="32"/>
        </w:rPr>
        <w:t>焜</w:t>
      </w:r>
      <w:r w:rsidRPr="00486637">
        <w:rPr>
          <w:rFonts w:ascii="仿宋_GB2312" w:eastAsia="仿宋_GB2312" w:hAnsi="仿宋" w:cs="仿宋" w:hint="eastAsia"/>
          <w:sz w:val="32"/>
          <w:szCs w:val="32"/>
        </w:rPr>
        <w:t>译；机械工业出</w:t>
      </w:r>
      <w:r w:rsidRPr="00486637">
        <w:rPr>
          <w:rFonts w:ascii="仿宋_GB2312" w:eastAsia="仿宋_GB2312" w:hAnsi="仿宋" w:cs="仿宋" w:hint="eastAsia"/>
          <w:sz w:val="32"/>
          <w:szCs w:val="32"/>
        </w:rPr>
        <w:lastRenderedPageBreak/>
        <w:t>版社, 2009年出版</w:t>
      </w:r>
    </w:p>
    <w:p w:rsidR="008B7B25" w:rsidRPr="00486637" w:rsidRDefault="008D59D2">
      <w:pPr>
        <w:pStyle w:val="1"/>
        <w:numPr>
          <w:ilvl w:val="0"/>
          <w:numId w:val="3"/>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录取</w:t>
      </w:r>
    </w:p>
    <w:p w:rsidR="008B7B25" w:rsidRPr="00486637" w:rsidRDefault="008D59D2" w:rsidP="00486637">
      <w:pPr>
        <w:adjustRightInd w:val="0"/>
        <w:snapToGrid w:val="0"/>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本项目录取及调剂要求按东北大学相关要求执行，届时参看东北大学研究生院网站的通知，网址</w:t>
      </w:r>
      <w:r w:rsidRPr="00486637">
        <w:rPr>
          <w:rFonts w:ascii="仿宋_GB2312" w:eastAsia="仿宋_GB2312" w:hAnsi="仿宋" w:cs="仿宋" w:hint="eastAsia"/>
          <w:sz w:val="32"/>
          <w:szCs w:val="32"/>
          <w:u w:val="single"/>
        </w:rPr>
        <w:t>http://www.graduate.neu.edu.cn/</w:t>
      </w:r>
      <w:r w:rsidRPr="00486637">
        <w:rPr>
          <w:rFonts w:ascii="仿宋_GB2312" w:eastAsia="仿宋_GB2312" w:hAnsi="仿宋" w:cs="仿宋" w:hint="eastAsia"/>
          <w:sz w:val="32"/>
          <w:szCs w:val="32"/>
        </w:rPr>
        <w:t>。</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四、学习方式及学制</w:t>
      </w:r>
    </w:p>
    <w:p w:rsidR="008B7B25" w:rsidRPr="00486637" w:rsidRDefault="008D59D2" w:rsidP="00486637">
      <w:pPr>
        <w:ind w:firstLineChars="204" w:firstLine="653"/>
        <w:rPr>
          <w:rFonts w:ascii="仿宋_GB2312" w:eastAsia="仿宋_GB2312" w:hAnsi="仿宋" w:cs="仿宋" w:hint="eastAsia"/>
          <w:sz w:val="32"/>
          <w:szCs w:val="32"/>
        </w:rPr>
      </w:pPr>
      <w:r w:rsidRPr="00486637">
        <w:rPr>
          <w:rFonts w:ascii="仿宋_GB2312" w:eastAsia="仿宋_GB2312" w:hAnsi="仿宋" w:cs="仿宋" w:hint="eastAsia"/>
          <w:sz w:val="32"/>
          <w:szCs w:val="32"/>
        </w:rPr>
        <w:t>本项目为全日制硕士研究生教育项目，学制3年。</w:t>
      </w:r>
    </w:p>
    <w:p w:rsidR="008B7B25" w:rsidRPr="00486637" w:rsidRDefault="008D59D2" w:rsidP="00486637">
      <w:pPr>
        <w:ind w:firstLineChars="204" w:firstLine="653"/>
        <w:rPr>
          <w:rFonts w:ascii="仿宋_GB2312" w:eastAsia="仿宋_GB2312" w:hAnsi="仿宋" w:cs="仿宋" w:hint="eastAsia"/>
          <w:sz w:val="32"/>
          <w:szCs w:val="32"/>
        </w:rPr>
      </w:pPr>
      <w:r w:rsidRPr="00486637">
        <w:rPr>
          <w:rFonts w:ascii="仿宋_GB2312" w:eastAsia="仿宋_GB2312" w:hAnsi="仿宋" w:cs="仿宋" w:hint="eastAsia"/>
          <w:sz w:val="32"/>
          <w:szCs w:val="32"/>
        </w:rPr>
        <w:t>东北大学和德克萨斯大学阿灵顿分校共同制定培养方案。学生分别在两</w:t>
      </w:r>
      <w:proofErr w:type="gramStart"/>
      <w:r w:rsidRPr="00486637">
        <w:rPr>
          <w:rFonts w:ascii="仿宋_GB2312" w:eastAsia="仿宋_GB2312" w:hAnsi="仿宋" w:cs="仿宋" w:hint="eastAsia"/>
          <w:sz w:val="32"/>
          <w:szCs w:val="32"/>
        </w:rPr>
        <w:t>校注册</w:t>
      </w:r>
      <w:proofErr w:type="gramEnd"/>
      <w:r w:rsidRPr="00486637">
        <w:rPr>
          <w:rFonts w:ascii="仿宋_GB2312" w:eastAsia="仿宋_GB2312" w:hAnsi="仿宋" w:cs="仿宋" w:hint="eastAsia"/>
          <w:sz w:val="32"/>
          <w:szCs w:val="32"/>
        </w:rPr>
        <w:t>学籍，在中国东北大学完成全部学业，其中包括东北大学硕士阶段的相关课程，以及由德克萨斯大学阿灵顿分校教师赴东北大学讲授的相关课程。此外，学生还可以选择短期赴美学习交流，通过境外学习、交流，提升自身的专业能力，开拓国际视野。</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五、学费</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6万人民币/年（以学校最终审批为准）。</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六、毕业与学位授予</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符合双方培养方案中规定的毕业要求和学位授予条件的学生将获得东北大学硕士研究生毕业证书、东北大学颁发的软件工程领域工程硕士学位（全日制），以及德克萨斯大学阿灵顿分校颁发的计算机科学硕士学位。</w:t>
      </w:r>
    </w:p>
    <w:p w:rsidR="008B7B25" w:rsidRPr="00486637" w:rsidRDefault="008D59D2">
      <w:pPr>
        <w:ind w:left="560"/>
        <w:rPr>
          <w:rFonts w:ascii="仿宋_GB2312" w:eastAsia="仿宋_GB2312" w:hAnsi="仿宋" w:cs="仿宋" w:hint="eastAsia"/>
          <w:sz w:val="32"/>
          <w:szCs w:val="32"/>
        </w:rPr>
      </w:pPr>
      <w:r w:rsidRPr="00486637">
        <w:rPr>
          <w:rFonts w:ascii="仿宋_GB2312" w:eastAsia="仿宋_GB2312" w:hAnsi="仿宋" w:cs="仿宋" w:hint="eastAsia"/>
          <w:sz w:val="32"/>
          <w:szCs w:val="32"/>
        </w:rPr>
        <w:t>七、项目特色</w:t>
      </w:r>
    </w:p>
    <w:p w:rsidR="008B7B25" w:rsidRPr="00486637" w:rsidRDefault="008D59D2">
      <w:pPr>
        <w:pStyle w:val="1"/>
        <w:numPr>
          <w:ilvl w:val="0"/>
          <w:numId w:val="4"/>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国际化培养模式  </w:t>
      </w:r>
    </w:p>
    <w:p w:rsidR="008B7B25" w:rsidRPr="00486637" w:rsidRDefault="008D59D2">
      <w:pPr>
        <w:ind w:firstLine="432"/>
        <w:rPr>
          <w:rFonts w:ascii="仿宋_GB2312" w:eastAsia="仿宋_GB2312" w:hAnsi="仿宋" w:cs="仿宋" w:hint="eastAsia"/>
          <w:sz w:val="32"/>
          <w:szCs w:val="32"/>
        </w:rPr>
      </w:pPr>
      <w:r w:rsidRPr="00486637">
        <w:rPr>
          <w:rFonts w:ascii="仿宋_GB2312" w:eastAsia="仿宋_GB2312" w:hAnsi="仿宋" w:cs="仿宋" w:hint="eastAsia"/>
          <w:sz w:val="32"/>
          <w:szCs w:val="32"/>
        </w:rPr>
        <w:t>本项目由双方高校共同制定培养方案，美方选派教师到东</w:t>
      </w:r>
      <w:r w:rsidRPr="00486637">
        <w:rPr>
          <w:rFonts w:ascii="仿宋_GB2312" w:eastAsia="仿宋_GB2312" w:hAnsi="仿宋" w:cs="仿宋" w:hint="eastAsia"/>
          <w:sz w:val="32"/>
          <w:szCs w:val="32"/>
        </w:rPr>
        <w:lastRenderedPageBreak/>
        <w:t>北大学授课，学生完成培养方案中规定的中、美双方课程，且符合培养方案中规定的毕业要求和学位授予条件，可获得东北大学硕士研究生毕业证书和中美双方硕士学位。</w:t>
      </w:r>
    </w:p>
    <w:p w:rsidR="008B7B25" w:rsidRPr="00486637" w:rsidRDefault="008D59D2">
      <w:pPr>
        <w:pStyle w:val="1"/>
        <w:numPr>
          <w:ilvl w:val="0"/>
          <w:numId w:val="4"/>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较低学习成本</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学生可在国内完成全部学习，并获得与美国留学相同的学位，节省了出国留学的高额学费、生活费、旅费等。</w:t>
      </w:r>
    </w:p>
    <w:p w:rsidR="008B7B25" w:rsidRPr="00486637" w:rsidRDefault="008D59D2">
      <w:pPr>
        <w:pStyle w:val="1"/>
        <w:numPr>
          <w:ilvl w:val="0"/>
          <w:numId w:val="4"/>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多</w:t>
      </w:r>
      <w:proofErr w:type="gramStart"/>
      <w:r w:rsidRPr="00486637">
        <w:rPr>
          <w:rFonts w:ascii="仿宋_GB2312" w:eastAsia="仿宋_GB2312" w:hAnsi="仿宋" w:cs="仿宋" w:hint="eastAsia"/>
          <w:sz w:val="32"/>
          <w:szCs w:val="32"/>
        </w:rPr>
        <w:t>种类奖</w:t>
      </w:r>
      <w:proofErr w:type="gramEnd"/>
      <w:r w:rsidRPr="00486637">
        <w:rPr>
          <w:rFonts w:ascii="仿宋_GB2312" w:eastAsia="仿宋_GB2312" w:hAnsi="仿宋" w:cs="仿宋" w:hint="eastAsia"/>
          <w:sz w:val="32"/>
          <w:szCs w:val="32"/>
        </w:rPr>
        <w:t>助学金</w:t>
      </w:r>
    </w:p>
    <w:p w:rsidR="008B7B25" w:rsidRPr="00486637" w:rsidRDefault="008D59D2">
      <w:pPr>
        <w:ind w:firstLine="432"/>
        <w:rPr>
          <w:rFonts w:ascii="仿宋_GB2312" w:eastAsia="仿宋_GB2312" w:hAnsi="仿宋" w:cs="仿宋" w:hint="eastAsia"/>
          <w:sz w:val="32"/>
          <w:szCs w:val="32"/>
        </w:rPr>
      </w:pPr>
      <w:r w:rsidRPr="00486637">
        <w:rPr>
          <w:rFonts w:ascii="仿宋_GB2312" w:eastAsia="仿宋_GB2312" w:hAnsi="仿宋" w:cs="仿宋" w:hint="eastAsia"/>
          <w:sz w:val="32"/>
          <w:szCs w:val="32"/>
        </w:rPr>
        <w:t>项目设立优秀学生奖学金、赴境外旅费资助等多种类奖学金，减轻学生的经济负担。</w:t>
      </w:r>
    </w:p>
    <w:p w:rsidR="008B7B25" w:rsidRPr="00486637" w:rsidRDefault="008D59D2">
      <w:pPr>
        <w:pStyle w:val="1"/>
        <w:numPr>
          <w:ilvl w:val="0"/>
          <w:numId w:val="4"/>
        </w:numPr>
        <w:ind w:firstLineChars="0"/>
        <w:rPr>
          <w:rFonts w:ascii="仿宋_GB2312" w:eastAsia="仿宋_GB2312" w:hAnsi="仿宋" w:cs="仿宋" w:hint="eastAsia"/>
          <w:sz w:val="32"/>
          <w:szCs w:val="32"/>
        </w:rPr>
      </w:pPr>
      <w:r w:rsidRPr="00486637">
        <w:rPr>
          <w:rFonts w:ascii="仿宋_GB2312" w:eastAsia="仿宋_GB2312" w:hAnsi="仿宋" w:cs="仿宋" w:hint="eastAsia"/>
          <w:sz w:val="32"/>
          <w:szCs w:val="32"/>
        </w:rPr>
        <w:t>广阔就业前景</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随着软件行业的蓬勃发展，行业内就业机会多，发展前景好。学生可凭借中美两国的硕士学位，选择在国内或美国高薪就业。根据软件学院近三年硕士毕业生就业数据统计，选择在北、上、广、深等一线城市就业的毕业生年薪均在20万元以上。</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八、联系方式</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东北大学软件学院</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地址：沈阳市</w:t>
      </w:r>
      <w:proofErr w:type="gramStart"/>
      <w:r w:rsidRPr="00486637">
        <w:rPr>
          <w:rFonts w:ascii="仿宋_GB2312" w:eastAsia="仿宋_GB2312" w:hAnsi="仿宋" w:cs="仿宋" w:hint="eastAsia"/>
          <w:sz w:val="32"/>
          <w:szCs w:val="32"/>
        </w:rPr>
        <w:t>浑</w:t>
      </w:r>
      <w:proofErr w:type="gramEnd"/>
      <w:r w:rsidRPr="00486637">
        <w:rPr>
          <w:rFonts w:ascii="仿宋_GB2312" w:eastAsia="仿宋_GB2312" w:hAnsi="仿宋" w:cs="仿宋" w:hint="eastAsia"/>
          <w:sz w:val="32"/>
          <w:szCs w:val="32"/>
        </w:rPr>
        <w:t xml:space="preserve">南区创新路195号东北大学浑南校区信息学馆508室 </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邮编：110169</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电话：024-83690122 </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邮箱: co-office@swc.neu.edu.cn   </w:t>
      </w:r>
    </w:p>
    <w:p w:rsidR="008B7B25" w:rsidRPr="00486637" w:rsidRDefault="008D59D2">
      <w:pPr>
        <w:ind w:firstLine="564"/>
        <w:rPr>
          <w:rFonts w:ascii="仿宋_GB2312" w:eastAsia="仿宋_GB2312" w:hAnsi="仿宋" w:cs="仿宋" w:hint="eastAsia"/>
          <w:sz w:val="32"/>
          <w:szCs w:val="32"/>
        </w:rPr>
      </w:pPr>
      <w:r w:rsidRPr="00486637">
        <w:rPr>
          <w:rFonts w:ascii="仿宋_GB2312" w:eastAsia="仿宋_GB2312" w:hAnsi="仿宋" w:cs="仿宋" w:hint="eastAsia"/>
          <w:sz w:val="32"/>
          <w:szCs w:val="32"/>
        </w:rPr>
        <w:lastRenderedPageBreak/>
        <w:t>网址：http://sc.neu.edu.cn/</w:t>
      </w:r>
    </w:p>
    <w:p w:rsidR="008B7B25" w:rsidRPr="00486637" w:rsidRDefault="008B7B25">
      <w:pPr>
        <w:rPr>
          <w:rFonts w:ascii="仿宋_GB2312" w:eastAsia="仿宋_GB2312" w:hAnsi="仿宋" w:cs="仿宋" w:hint="eastAsia"/>
          <w:sz w:val="32"/>
          <w:szCs w:val="32"/>
        </w:rPr>
      </w:pPr>
    </w:p>
    <w:p w:rsidR="008B7B25" w:rsidRPr="00486637" w:rsidRDefault="008D59D2">
      <w:pPr>
        <w:rPr>
          <w:rFonts w:ascii="仿宋_GB2312" w:eastAsia="仿宋_GB2312" w:hAnsi="仿宋" w:cs="仿宋" w:hint="eastAsia"/>
          <w:sz w:val="32"/>
          <w:szCs w:val="32"/>
        </w:rPr>
      </w:pPr>
      <w:r w:rsidRPr="00486637">
        <w:rPr>
          <w:rFonts w:ascii="仿宋_GB2312" w:eastAsia="仿宋_GB2312" w:hAnsi="仿宋" w:cs="仿宋" w:hint="eastAsia"/>
          <w:sz w:val="32"/>
          <w:szCs w:val="32"/>
        </w:rPr>
        <w:t>附件1：美国德克萨斯大学阿灵顿分校简介</w:t>
      </w:r>
    </w:p>
    <w:p w:rsidR="008B7B25" w:rsidRPr="00486637" w:rsidRDefault="008D59D2">
      <w:pPr>
        <w:rPr>
          <w:rFonts w:ascii="仿宋_GB2312" w:eastAsia="仿宋_GB2312" w:hAnsi="仿宋" w:cs="仿宋" w:hint="eastAsia"/>
          <w:sz w:val="32"/>
          <w:szCs w:val="32"/>
        </w:rPr>
      </w:pPr>
      <w:r w:rsidRPr="00486637">
        <w:rPr>
          <w:rFonts w:ascii="仿宋_GB2312" w:eastAsia="仿宋_GB2312" w:hAnsi="仿宋" w:cs="仿宋" w:hint="eastAsia"/>
          <w:sz w:val="32"/>
          <w:szCs w:val="32"/>
        </w:rPr>
        <w:t xml:space="preserve">    德克萨斯大学阿灵顿分校是一所位于德克萨斯州阿灵顿市中心的国家级研究型综合大学。该校被卡内基教育基金会归类为R1级研究性大学，目前全美仅115所机构获得此称号。《高等教育纪事报》将德克萨斯大学阿灵顿分校誉为全美成长速度最快的公立研究型大学之一。</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学校创立于1895年，二十世纪初期是一所私立军校，在1959年德克萨斯大学阿灵顿分校成为了高级学院，曾加入德克萨斯农业大学系统，1965年成为得克萨斯大学系统的一部分。德克萨斯大学阿灵顿分校目前是德州系统中，人数和规模第二大的大学。学校提供78个学士学位，73个硕士学位和52个博士学位。学校面积约420英亩（1.7平方公里），内有100多栋楼宇。学校拥有一座中心图书馆、两个分支图书馆以及4个电子图书馆，上百万册自然科学书籍和37000套印刷及电子版的书籍和报刊为学生和教师提供丰富的参考资料。学校同时拥有以物理化学试验楼、工程研究中心、新建的土木工程实验室为代表的先进一流的教学科研设施。</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学校的工程学院提供11个本科学位，20个硕士学位，9个博士学位，是德州第三大工程学院，有约13000名学生，有200多名全职教授和40多名兼职教授。工程学院在《美</w:t>
      </w:r>
      <w:r w:rsidRPr="00486637">
        <w:rPr>
          <w:rFonts w:ascii="仿宋_GB2312" w:eastAsia="仿宋_GB2312" w:hAnsi="仿宋" w:cs="仿宋" w:hint="eastAsia"/>
          <w:sz w:val="32"/>
          <w:szCs w:val="32"/>
        </w:rPr>
        <w:lastRenderedPageBreak/>
        <w:t>国新闻与世界报导》评价的全美最佳工学院中排名83。</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本项目依托于工程学院下属的计算机科学与工程系。计算机系坐落于1.5亿美元的工程技术研究中心大楼，为学生提供一流的学习和研究环境。该系拥有终身制教授、副教授27名，非终身制教授16名，其中IEEE院士5名。在2018年《美国新闻与世界报导》的美国研究生院排名中，计算机科学专业排名91名，计算机工程专业排名为64名。计算机与科学系在2017年发布的csrankings.org综合排名为39, 人工智能为4，操作系统为10, 数据库为19。计算机系与多家著名企业建立了长期的合作关系，包括谷歌，亚马逊，华为，微软等，年科研经费达到1</w:t>
      </w:r>
      <w:proofErr w:type="gramStart"/>
      <w:r w:rsidRPr="00486637">
        <w:rPr>
          <w:rFonts w:ascii="仿宋_GB2312" w:eastAsia="仿宋_GB2312" w:hAnsi="仿宋" w:cs="仿宋" w:hint="eastAsia"/>
          <w:sz w:val="32"/>
          <w:szCs w:val="32"/>
        </w:rPr>
        <w:t>千万</w:t>
      </w:r>
      <w:proofErr w:type="gramEnd"/>
      <w:r w:rsidRPr="00486637">
        <w:rPr>
          <w:rFonts w:ascii="仿宋_GB2312" w:eastAsia="仿宋_GB2312" w:hAnsi="仿宋" w:cs="仿宋" w:hint="eastAsia"/>
          <w:sz w:val="32"/>
          <w:szCs w:val="32"/>
        </w:rPr>
        <w:t>美元。</w:t>
      </w:r>
    </w:p>
    <w:p w:rsidR="008B7B25" w:rsidRPr="00486637" w:rsidRDefault="008B7B25" w:rsidP="00486637">
      <w:pPr>
        <w:ind w:firstLineChars="200" w:firstLine="640"/>
        <w:rPr>
          <w:rFonts w:ascii="仿宋_GB2312" w:eastAsia="仿宋_GB2312" w:hAnsi="仿宋" w:cs="仿宋" w:hint="eastAsia"/>
          <w:sz w:val="32"/>
          <w:szCs w:val="32"/>
        </w:rPr>
      </w:pPr>
    </w:p>
    <w:p w:rsidR="008B7B25" w:rsidRPr="00486637" w:rsidRDefault="008D59D2">
      <w:pPr>
        <w:rPr>
          <w:rFonts w:ascii="仿宋_GB2312" w:eastAsia="仿宋_GB2312" w:hAnsi="仿宋" w:cs="仿宋" w:hint="eastAsia"/>
          <w:sz w:val="32"/>
          <w:szCs w:val="32"/>
        </w:rPr>
      </w:pPr>
      <w:r w:rsidRPr="00486637">
        <w:rPr>
          <w:rFonts w:ascii="仿宋_GB2312" w:eastAsia="仿宋_GB2312" w:hAnsi="仿宋" w:cs="仿宋" w:hint="eastAsia"/>
          <w:sz w:val="32"/>
          <w:szCs w:val="32"/>
        </w:rPr>
        <w:t>附件2. 东北大学与美国德克萨斯大学阿灵顿分校合作举办软件工程专业硕士研究生教育项目主要专业课程列表</w:t>
      </w:r>
    </w:p>
    <w:p w:rsidR="008B7B25" w:rsidRPr="00486637" w:rsidRDefault="008D59D2">
      <w:pPr>
        <w:spacing w:line="360" w:lineRule="auto"/>
        <w:rPr>
          <w:rFonts w:ascii="仿宋_GB2312" w:eastAsia="仿宋_GB2312" w:hAnsi="仿宋" w:cs="仿宋" w:hint="eastAsia"/>
          <w:color w:val="000000"/>
          <w:sz w:val="32"/>
          <w:szCs w:val="32"/>
        </w:rPr>
      </w:pPr>
      <w:r w:rsidRPr="00486637">
        <w:rPr>
          <w:rFonts w:ascii="仿宋_GB2312" w:eastAsia="仿宋_GB2312" w:hAnsi="仿宋" w:cs="仿宋" w:hint="eastAsia"/>
          <w:color w:val="000000"/>
          <w:sz w:val="32"/>
          <w:szCs w:val="32"/>
        </w:rPr>
        <w:t>中方主要专业课程：</w:t>
      </w:r>
    </w:p>
    <w:tbl>
      <w:tblPr>
        <w:tblStyle w:val="a5"/>
        <w:tblW w:w="8386" w:type="dxa"/>
        <w:tblLayout w:type="fixed"/>
        <w:tblLook w:val="04A0"/>
      </w:tblPr>
      <w:tblGrid>
        <w:gridCol w:w="1741"/>
        <w:gridCol w:w="2385"/>
        <w:gridCol w:w="1995"/>
        <w:gridCol w:w="2265"/>
      </w:tblGrid>
      <w:tr w:rsidR="008B7B25" w:rsidRPr="00486637">
        <w:trPr>
          <w:trHeight w:val="543"/>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yz201806001</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应用数理统计</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yz201806002</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数值分析</w:t>
            </w:r>
          </w:p>
        </w:tc>
      </w:tr>
      <w:tr w:rsidR="008B7B25" w:rsidRPr="00486637">
        <w:trPr>
          <w:trHeight w:val="588"/>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yz201806003</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最优化理论与方法</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yz201813001</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高级软件工程</w:t>
            </w:r>
          </w:p>
        </w:tc>
      </w:tr>
      <w:tr w:rsidR="008B7B25" w:rsidRPr="00486637">
        <w:trPr>
          <w:trHeight w:val="966"/>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yz201813002</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软件体系结构</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yz201813003</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面向对象的系统分析与设计</w:t>
            </w:r>
          </w:p>
        </w:tc>
      </w:tr>
      <w:tr w:rsidR="008B7B25" w:rsidRPr="00486637">
        <w:trPr>
          <w:trHeight w:val="528"/>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yz2018130</w:t>
            </w:r>
            <w:r w:rsidRPr="00486637">
              <w:rPr>
                <w:rFonts w:ascii="仿宋_GB2312" w:eastAsia="仿宋_GB2312" w:hAnsi="仿宋" w:cs="仿宋" w:hint="eastAsia"/>
                <w:color w:val="000000"/>
                <w:kern w:val="0"/>
                <w:sz w:val="32"/>
                <w:szCs w:val="32"/>
              </w:rPr>
              <w:lastRenderedPageBreak/>
              <w:t>04</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lastRenderedPageBreak/>
              <w:t>软件工程案例</w:t>
            </w:r>
            <w:r w:rsidRPr="00486637">
              <w:rPr>
                <w:rFonts w:ascii="仿宋_GB2312" w:eastAsia="仿宋_GB2312" w:hAnsi="仿宋" w:cs="仿宋" w:hint="eastAsia"/>
                <w:color w:val="000000"/>
                <w:kern w:val="0"/>
                <w:sz w:val="32"/>
                <w:szCs w:val="32"/>
              </w:rPr>
              <w:lastRenderedPageBreak/>
              <w:t>分析</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lastRenderedPageBreak/>
              <w:t>yz201813101</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创新创业活动</w:t>
            </w:r>
          </w:p>
        </w:tc>
      </w:tr>
      <w:tr w:rsidR="008B7B25" w:rsidRPr="00486637">
        <w:trPr>
          <w:trHeight w:val="981"/>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lastRenderedPageBreak/>
              <w:t>yz201813102</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高级人工智能</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yz201813103</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项目驱动的软件开发实践</w:t>
            </w:r>
          </w:p>
        </w:tc>
      </w:tr>
      <w:tr w:rsidR="008B7B25" w:rsidRPr="00486637">
        <w:trPr>
          <w:trHeight w:val="522"/>
        </w:trPr>
        <w:tc>
          <w:tcPr>
            <w:tcW w:w="1741"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yz201813104</w:t>
            </w:r>
          </w:p>
        </w:tc>
        <w:tc>
          <w:tcPr>
            <w:tcW w:w="238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云计算技术及应用实践</w:t>
            </w:r>
          </w:p>
        </w:tc>
        <w:tc>
          <w:tcPr>
            <w:tcW w:w="199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yz201813105</w:t>
            </w:r>
          </w:p>
        </w:tc>
        <w:tc>
          <w:tcPr>
            <w:tcW w:w="226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交互设计理论与实践</w:t>
            </w:r>
          </w:p>
        </w:tc>
      </w:tr>
      <w:tr w:rsidR="008B7B25" w:rsidRPr="00486637">
        <w:trPr>
          <w:trHeight w:val="879"/>
        </w:trPr>
        <w:tc>
          <w:tcPr>
            <w:tcW w:w="1741"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yz201813106</w:t>
            </w:r>
          </w:p>
        </w:tc>
        <w:tc>
          <w:tcPr>
            <w:tcW w:w="238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CMMI软件过程模型与</w:t>
            </w:r>
            <w:proofErr w:type="gramStart"/>
            <w:r w:rsidRPr="00486637">
              <w:rPr>
                <w:rFonts w:ascii="仿宋_GB2312" w:eastAsia="仿宋_GB2312" w:hAnsi="仿宋" w:cs="仿宋" w:hint="eastAsia"/>
                <w:color w:val="000000"/>
                <w:kern w:val="0"/>
                <w:sz w:val="32"/>
                <w:szCs w:val="32"/>
              </w:rPr>
              <w:t>敏捷实践</w:t>
            </w:r>
            <w:proofErr w:type="gramEnd"/>
          </w:p>
        </w:tc>
        <w:tc>
          <w:tcPr>
            <w:tcW w:w="199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yz201813107</w:t>
            </w:r>
          </w:p>
        </w:tc>
        <w:tc>
          <w:tcPr>
            <w:tcW w:w="226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软件重构技术</w:t>
            </w:r>
          </w:p>
        </w:tc>
      </w:tr>
      <w:tr w:rsidR="008B7B25" w:rsidRPr="00486637">
        <w:trPr>
          <w:trHeight w:val="642"/>
        </w:trPr>
        <w:tc>
          <w:tcPr>
            <w:tcW w:w="1741"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yz201813108</w:t>
            </w:r>
          </w:p>
        </w:tc>
        <w:tc>
          <w:tcPr>
            <w:tcW w:w="238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网络空间安全技术</w:t>
            </w:r>
          </w:p>
        </w:tc>
        <w:tc>
          <w:tcPr>
            <w:tcW w:w="199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yz201813109</w:t>
            </w:r>
          </w:p>
        </w:tc>
        <w:tc>
          <w:tcPr>
            <w:tcW w:w="226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color w:val="000000"/>
                <w:kern w:val="0"/>
                <w:sz w:val="32"/>
                <w:szCs w:val="32"/>
              </w:rPr>
              <w:t>数据仓库与数据挖掘</w:t>
            </w:r>
          </w:p>
        </w:tc>
      </w:tr>
      <w:tr w:rsidR="008B7B25" w:rsidRPr="00486637">
        <w:trPr>
          <w:trHeight w:val="804"/>
        </w:trPr>
        <w:tc>
          <w:tcPr>
            <w:tcW w:w="1741"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yz201813110</w:t>
            </w:r>
          </w:p>
        </w:tc>
        <w:tc>
          <w:tcPr>
            <w:tcW w:w="238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网络科学的基本方法与应用</w:t>
            </w:r>
          </w:p>
        </w:tc>
        <w:tc>
          <w:tcPr>
            <w:tcW w:w="199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yz201813111</w:t>
            </w:r>
          </w:p>
        </w:tc>
        <w:tc>
          <w:tcPr>
            <w:tcW w:w="226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信息检索理论与方法</w:t>
            </w:r>
          </w:p>
        </w:tc>
      </w:tr>
      <w:tr w:rsidR="008B7B25" w:rsidRPr="00486637">
        <w:trPr>
          <w:trHeight w:val="552"/>
        </w:trPr>
        <w:tc>
          <w:tcPr>
            <w:tcW w:w="1741"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color w:val="000000"/>
                <w:kern w:val="0"/>
                <w:sz w:val="32"/>
                <w:szCs w:val="32"/>
              </w:rPr>
              <w:t>yz201813112</w:t>
            </w:r>
          </w:p>
        </w:tc>
        <w:tc>
          <w:tcPr>
            <w:tcW w:w="2385" w:type="dxa"/>
            <w:tcBorders>
              <w:top w:val="nil"/>
              <w:left w:val="nil"/>
              <w:bottom w:val="nil"/>
              <w:right w:val="nil"/>
            </w:tcBorders>
            <w:vAlign w:val="center"/>
          </w:tcPr>
          <w:p w:rsidR="008B7B25" w:rsidRPr="00486637" w:rsidRDefault="008D59D2">
            <w:pPr>
              <w:widowControl/>
              <w:jc w:val="center"/>
              <w:rPr>
                <w:rFonts w:ascii="仿宋_GB2312" w:eastAsia="仿宋_GB2312" w:hAnsi="仿宋" w:cs="仿宋" w:hint="eastAsia"/>
                <w:color w:val="000000"/>
                <w:kern w:val="0"/>
                <w:sz w:val="32"/>
                <w:szCs w:val="32"/>
              </w:rPr>
            </w:pPr>
            <w:proofErr w:type="spellStart"/>
            <w:r w:rsidRPr="00486637">
              <w:rPr>
                <w:rFonts w:ascii="仿宋_GB2312" w:eastAsia="仿宋_GB2312" w:hAnsi="仿宋" w:cs="仿宋" w:hint="eastAsia"/>
                <w:color w:val="000000"/>
                <w:kern w:val="0"/>
                <w:sz w:val="32"/>
                <w:szCs w:val="32"/>
              </w:rPr>
              <w:t>LaTex</w:t>
            </w:r>
            <w:proofErr w:type="spellEnd"/>
            <w:r w:rsidRPr="00486637">
              <w:rPr>
                <w:rFonts w:ascii="仿宋_GB2312" w:eastAsia="仿宋_GB2312" w:hAnsi="仿宋" w:cs="仿宋" w:hint="eastAsia"/>
                <w:color w:val="000000"/>
                <w:kern w:val="0"/>
                <w:sz w:val="32"/>
                <w:szCs w:val="32"/>
              </w:rPr>
              <w:t>写作技术与应用</w:t>
            </w:r>
          </w:p>
        </w:tc>
        <w:tc>
          <w:tcPr>
            <w:tcW w:w="1995" w:type="dxa"/>
            <w:tcBorders>
              <w:top w:val="nil"/>
              <w:left w:val="nil"/>
              <w:bottom w:val="nil"/>
              <w:right w:val="nil"/>
            </w:tcBorders>
            <w:vAlign w:val="center"/>
          </w:tcPr>
          <w:p w:rsidR="008B7B25" w:rsidRPr="00486637" w:rsidRDefault="008B7B25">
            <w:pPr>
              <w:widowControl/>
              <w:jc w:val="center"/>
              <w:rPr>
                <w:rFonts w:ascii="仿宋_GB2312" w:eastAsia="仿宋_GB2312" w:hAnsi="仿宋" w:cs="仿宋" w:hint="eastAsia"/>
                <w:color w:val="000000"/>
                <w:kern w:val="0"/>
                <w:sz w:val="32"/>
                <w:szCs w:val="32"/>
              </w:rPr>
            </w:pPr>
          </w:p>
        </w:tc>
        <w:tc>
          <w:tcPr>
            <w:tcW w:w="2265" w:type="dxa"/>
            <w:tcBorders>
              <w:top w:val="nil"/>
              <w:left w:val="nil"/>
              <w:bottom w:val="nil"/>
              <w:right w:val="nil"/>
            </w:tcBorders>
            <w:vAlign w:val="center"/>
          </w:tcPr>
          <w:p w:rsidR="008B7B25" w:rsidRPr="00486637" w:rsidRDefault="008B7B25">
            <w:pPr>
              <w:widowControl/>
              <w:jc w:val="center"/>
              <w:rPr>
                <w:rFonts w:ascii="仿宋_GB2312" w:eastAsia="仿宋_GB2312" w:hAnsi="仿宋" w:cs="仿宋" w:hint="eastAsia"/>
                <w:color w:val="000000"/>
                <w:kern w:val="0"/>
                <w:sz w:val="32"/>
                <w:szCs w:val="32"/>
              </w:rPr>
            </w:pPr>
          </w:p>
        </w:tc>
      </w:tr>
    </w:tbl>
    <w:p w:rsidR="008B7B25" w:rsidRPr="00486637" w:rsidRDefault="008B7B25">
      <w:pPr>
        <w:spacing w:line="360" w:lineRule="auto"/>
        <w:rPr>
          <w:rFonts w:ascii="仿宋_GB2312" w:eastAsia="仿宋_GB2312" w:hAnsi="仿宋" w:cs="仿宋" w:hint="eastAsia"/>
          <w:b/>
          <w:bCs/>
          <w:color w:val="000000"/>
          <w:sz w:val="32"/>
          <w:szCs w:val="32"/>
        </w:rPr>
      </w:pPr>
    </w:p>
    <w:p w:rsidR="008B7B25" w:rsidRPr="00486637" w:rsidRDefault="008D59D2">
      <w:pPr>
        <w:rPr>
          <w:rFonts w:ascii="仿宋_GB2312" w:eastAsia="仿宋_GB2312" w:hAnsi="仿宋" w:cs="仿宋" w:hint="eastAsia"/>
          <w:sz w:val="32"/>
          <w:szCs w:val="32"/>
        </w:rPr>
      </w:pPr>
      <w:r w:rsidRPr="00486637">
        <w:rPr>
          <w:rFonts w:ascii="仿宋_GB2312" w:eastAsia="仿宋_GB2312" w:hAnsi="仿宋" w:cs="仿宋" w:hint="eastAsia"/>
          <w:sz w:val="32"/>
          <w:szCs w:val="32"/>
        </w:rPr>
        <w:t>美方主要专业课程：</w:t>
      </w:r>
    </w:p>
    <w:tbl>
      <w:tblPr>
        <w:tblStyle w:val="a5"/>
        <w:tblW w:w="8386" w:type="dxa"/>
        <w:tblLayout w:type="fixed"/>
        <w:tblLook w:val="04A0"/>
      </w:tblPr>
      <w:tblGrid>
        <w:gridCol w:w="1741"/>
        <w:gridCol w:w="2385"/>
        <w:gridCol w:w="1995"/>
        <w:gridCol w:w="2265"/>
      </w:tblGrid>
      <w:tr w:rsidR="008B7B25" w:rsidRPr="00486637">
        <w:trPr>
          <w:trHeight w:val="543"/>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CSE5311</w:t>
            </w:r>
          </w:p>
        </w:tc>
        <w:tc>
          <w:tcPr>
            <w:tcW w:w="238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Design and Analysis of Algorithms</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CSE5301</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Data Analysis &amp; Modeling Techniques</w:t>
            </w:r>
          </w:p>
        </w:tc>
      </w:tr>
      <w:tr w:rsidR="008B7B25" w:rsidRPr="00486637">
        <w:trPr>
          <w:trHeight w:val="588"/>
        </w:trPr>
        <w:tc>
          <w:tcPr>
            <w:tcW w:w="1741"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CSE5324</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 xml:space="preserve">Software Engineering: Analysis, </w:t>
            </w:r>
            <w:r w:rsidRPr="00486637">
              <w:rPr>
                <w:rFonts w:ascii="仿宋_GB2312" w:eastAsia="仿宋_GB2312" w:hAnsi="仿宋" w:cs="仿宋" w:hint="eastAsia"/>
                <w:kern w:val="0"/>
                <w:sz w:val="32"/>
                <w:szCs w:val="32"/>
              </w:rPr>
              <w:lastRenderedPageBreak/>
              <w:t>Design, and Testing</w:t>
            </w:r>
          </w:p>
        </w:tc>
        <w:tc>
          <w:tcPr>
            <w:tcW w:w="199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lastRenderedPageBreak/>
              <w:t>CSE5335</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Web Data Management</w:t>
            </w:r>
          </w:p>
        </w:tc>
      </w:tr>
      <w:tr w:rsidR="008B7B25" w:rsidRPr="00486637">
        <w:trPr>
          <w:trHeight w:val="966"/>
        </w:trPr>
        <w:tc>
          <w:tcPr>
            <w:tcW w:w="1741"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lastRenderedPageBreak/>
              <w:t>CSE5365</w:t>
            </w:r>
          </w:p>
        </w:tc>
        <w:tc>
          <w:tcPr>
            <w:tcW w:w="238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Computer Graphics</w:t>
            </w:r>
          </w:p>
        </w:tc>
        <w:tc>
          <w:tcPr>
            <w:tcW w:w="199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CSE6324</w:t>
            </w:r>
          </w:p>
        </w:tc>
        <w:tc>
          <w:tcPr>
            <w:tcW w:w="2265" w:type="dxa"/>
            <w:tcBorders>
              <w:top w:val="nil"/>
              <w:left w:val="nil"/>
              <w:bottom w:val="nil"/>
              <w:right w:val="nil"/>
            </w:tcBorders>
            <w:vAlign w:val="center"/>
          </w:tcPr>
          <w:p w:rsidR="008B7B25" w:rsidRPr="00486637" w:rsidRDefault="008D59D2">
            <w:pPr>
              <w:spacing w:line="360" w:lineRule="auto"/>
              <w:jc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Advanced Topics in Software Engineering</w:t>
            </w:r>
          </w:p>
        </w:tc>
      </w:tr>
      <w:tr w:rsidR="008B7B25" w:rsidRPr="00486637">
        <w:trPr>
          <w:trHeight w:val="528"/>
        </w:trPr>
        <w:tc>
          <w:tcPr>
            <w:tcW w:w="1741"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CSE5334</w:t>
            </w:r>
          </w:p>
        </w:tc>
        <w:tc>
          <w:tcPr>
            <w:tcW w:w="238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Data Mining</w:t>
            </w:r>
          </w:p>
        </w:tc>
        <w:tc>
          <w:tcPr>
            <w:tcW w:w="199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CSE6331</w:t>
            </w:r>
          </w:p>
        </w:tc>
        <w:tc>
          <w:tcPr>
            <w:tcW w:w="226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b/>
                <w:bCs/>
                <w:color w:val="000000"/>
                <w:sz w:val="32"/>
                <w:szCs w:val="32"/>
              </w:rPr>
            </w:pPr>
            <w:r w:rsidRPr="00486637">
              <w:rPr>
                <w:rFonts w:ascii="仿宋_GB2312" w:eastAsia="仿宋_GB2312" w:hAnsi="仿宋" w:cs="仿宋" w:hint="eastAsia"/>
                <w:kern w:val="0"/>
                <w:sz w:val="32"/>
                <w:szCs w:val="32"/>
              </w:rPr>
              <w:t>Advanced Topics in Database System</w:t>
            </w:r>
          </w:p>
        </w:tc>
      </w:tr>
      <w:tr w:rsidR="008B7B25" w:rsidRPr="00486637">
        <w:trPr>
          <w:trHeight w:val="981"/>
        </w:trPr>
        <w:tc>
          <w:tcPr>
            <w:tcW w:w="1741"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CSE 5368</w:t>
            </w:r>
          </w:p>
        </w:tc>
        <w:tc>
          <w:tcPr>
            <w:tcW w:w="238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Neural Networks</w:t>
            </w:r>
          </w:p>
        </w:tc>
        <w:tc>
          <w:tcPr>
            <w:tcW w:w="199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CSE 5325</w:t>
            </w:r>
          </w:p>
        </w:tc>
        <w:tc>
          <w:tcPr>
            <w:tcW w:w="2265" w:type="dxa"/>
            <w:tcBorders>
              <w:top w:val="nil"/>
              <w:left w:val="nil"/>
              <w:bottom w:val="nil"/>
              <w:right w:val="nil"/>
            </w:tcBorders>
            <w:vAlign w:val="center"/>
          </w:tcPr>
          <w:p w:rsidR="008B7B25" w:rsidRPr="00486637" w:rsidRDefault="008D59D2">
            <w:pPr>
              <w:widowControl/>
              <w:jc w:val="center"/>
              <w:textAlignment w:val="center"/>
              <w:rPr>
                <w:rFonts w:ascii="仿宋_GB2312" w:eastAsia="仿宋_GB2312" w:hAnsi="仿宋" w:cs="仿宋" w:hint="eastAsia"/>
                <w:color w:val="000000"/>
                <w:kern w:val="0"/>
                <w:sz w:val="32"/>
                <w:szCs w:val="32"/>
              </w:rPr>
            </w:pPr>
            <w:r w:rsidRPr="00486637">
              <w:rPr>
                <w:rFonts w:ascii="仿宋_GB2312" w:eastAsia="仿宋_GB2312" w:hAnsi="仿宋" w:cs="仿宋" w:hint="eastAsia"/>
                <w:kern w:val="0"/>
                <w:sz w:val="32"/>
                <w:szCs w:val="32"/>
              </w:rPr>
              <w:t>Software Engineering: Management, Maintenance, and Quality</w:t>
            </w:r>
          </w:p>
        </w:tc>
      </w:tr>
    </w:tbl>
    <w:p w:rsidR="008B7B25" w:rsidRPr="00486637" w:rsidRDefault="008B7B25">
      <w:pPr>
        <w:rPr>
          <w:rFonts w:ascii="仿宋_GB2312" w:eastAsia="仿宋_GB2312" w:hAnsi="仿宋" w:cs="仿宋" w:hint="eastAsia"/>
          <w:sz w:val="32"/>
          <w:szCs w:val="32"/>
        </w:rPr>
      </w:pPr>
    </w:p>
    <w:p w:rsidR="00B0586F" w:rsidRPr="00486637" w:rsidRDefault="00B0586F">
      <w:pPr>
        <w:widowControl/>
        <w:jc w:val="left"/>
        <w:rPr>
          <w:rFonts w:ascii="仿宋_GB2312" w:eastAsia="仿宋_GB2312" w:hAnsi="仿宋" w:cs="仿宋" w:hint="eastAsia"/>
          <w:sz w:val="32"/>
          <w:szCs w:val="32"/>
        </w:rPr>
      </w:pPr>
      <w:r w:rsidRPr="00486637">
        <w:rPr>
          <w:rFonts w:ascii="仿宋_GB2312" w:eastAsia="仿宋_GB2312" w:hAnsi="仿宋" w:cs="仿宋" w:hint="eastAsia"/>
          <w:sz w:val="32"/>
          <w:szCs w:val="32"/>
        </w:rPr>
        <w:br w:type="page"/>
      </w:r>
    </w:p>
    <w:p w:rsidR="008B7B25" w:rsidRPr="00486637" w:rsidRDefault="00486637" w:rsidP="00486637">
      <w:pPr>
        <w:jc w:val="center"/>
        <w:rPr>
          <w:rFonts w:ascii="方正小标宋简体" w:eastAsia="方正小标宋简体" w:hAnsi="仿宋" w:cs="仿宋" w:hint="eastAsia"/>
          <w:b/>
          <w:bCs/>
          <w:sz w:val="36"/>
          <w:szCs w:val="36"/>
        </w:rPr>
      </w:pPr>
      <w:bookmarkStart w:id="0" w:name="_GoBack"/>
      <w:bookmarkEnd w:id="0"/>
      <w:r>
        <w:rPr>
          <w:rFonts w:ascii="方正小标宋简体" w:eastAsia="方正小标宋简体" w:hAnsi="仿宋" w:cs="仿宋" w:hint="eastAsia"/>
          <w:b/>
          <w:bCs/>
          <w:sz w:val="36"/>
          <w:szCs w:val="36"/>
        </w:rPr>
        <w:lastRenderedPageBreak/>
        <w:t xml:space="preserve"> </w:t>
      </w:r>
      <w:r w:rsidR="008D59D2" w:rsidRPr="00486637">
        <w:rPr>
          <w:rFonts w:ascii="方正小标宋简体" w:eastAsia="方正小标宋简体" w:hAnsi="仿宋" w:cs="仿宋" w:hint="eastAsia"/>
          <w:b/>
          <w:bCs/>
          <w:sz w:val="36"/>
          <w:szCs w:val="36"/>
        </w:rPr>
        <w:t>材料科学与工程项目</w:t>
      </w:r>
    </w:p>
    <w:p w:rsidR="008B7B25" w:rsidRPr="00486637" w:rsidRDefault="008D59D2" w:rsidP="00486637">
      <w:pPr>
        <w:ind w:firstLineChars="200" w:firstLine="640"/>
        <w:jc w:val="center"/>
        <w:rPr>
          <w:rFonts w:ascii="仿宋_GB2312" w:eastAsia="仿宋_GB2312" w:hAnsi="仿宋" w:cs="仿宋" w:hint="eastAsia"/>
          <w:sz w:val="32"/>
          <w:szCs w:val="32"/>
        </w:rPr>
      </w:pPr>
      <w:r w:rsidRPr="00486637">
        <w:rPr>
          <w:rFonts w:ascii="仿宋_GB2312" w:eastAsia="仿宋_GB2312" w:hAnsi="仿宋" w:cs="仿宋" w:hint="eastAsia"/>
          <w:sz w:val="32"/>
          <w:szCs w:val="32"/>
        </w:rPr>
        <w:t>（中外合作办学项目）</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材料科学与工程（中外合作办学）项目是教育部批准的（教外 [2018] 8号函）东北大学与法国图卢兹第三大学合作举办的四年制本科教育项目。该项目整合东北大学材料、机械工程、自动化等重点学科的优质资源，引入法国图卢兹第三大学的高水平教育和研究资源，引进国际化的师资、学生培养方案、教材和教学方法，</w:t>
      </w:r>
      <w:r w:rsidR="004C6C29" w:rsidRPr="00486637">
        <w:rPr>
          <w:rFonts w:ascii="仿宋_GB2312" w:eastAsia="仿宋_GB2312" w:hAnsi="仿宋" w:cs="仿宋" w:hint="eastAsia"/>
          <w:sz w:val="32"/>
          <w:szCs w:val="32"/>
        </w:rPr>
        <w:t>培养具有广博的理论基础，通晓英语、法语，具有机械工程、电子电能自动化等跨学科背景，在结构材料和功能材料领域具有坚实的理论、实践基础和继续深造潜力，具有跨文化合作能力和国际视野的创新型人才。</w:t>
      </w:r>
      <w:r w:rsidRPr="00486637">
        <w:rPr>
          <w:rFonts w:ascii="仿宋_GB2312" w:eastAsia="仿宋_GB2312" w:hAnsi="仿宋" w:cs="仿宋" w:hint="eastAsia"/>
          <w:sz w:val="32"/>
          <w:szCs w:val="32"/>
        </w:rPr>
        <w:t>学生毕业后，可在法国继续进行工程师学位学习或攻读硕士学位。</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本项目按东北大学材料科学与工程（中外合作办学）专业招收学生。采用“双校园”培养模式，学生在东北大学和图卢兹第三大学同时注册，前三学年在东北大学学习，第四学年在图卢兹第三大学学习。在前三个学期，所有学生学习内容一致，从第四学期开始，根据学生自己的兴趣和学习成绩，在材料、机械工程和电子电能自动化三个方向进行培养。颁发东北大学材料科学与工程专业的毕业证书、学士学位证书和由法国教育部颁发的图卢兹第三大学化学、机械工程或电子电能自动化专业的学士学位证书。</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lastRenderedPageBreak/>
        <w:t>在东北大学学习期间，每年学费为3万元人民币，在图卢兹第三大学学习期间每年学费和注册费合计4148欧元。</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大学第一学期主要进行法语强化学习。学生法语水平须达到B2级后方可参加第四年在法国的学习。第三学年后，未满足法语和学业条件的学生须重修一年，在达到条件后赴法学习；经过</w:t>
      </w:r>
      <w:proofErr w:type="gramStart"/>
      <w:r w:rsidRPr="00486637">
        <w:rPr>
          <w:rFonts w:ascii="仿宋_GB2312" w:eastAsia="仿宋_GB2312" w:hAnsi="仿宋" w:cs="仿宋" w:hint="eastAsia"/>
          <w:sz w:val="32"/>
          <w:szCs w:val="32"/>
        </w:rPr>
        <w:t>一</w:t>
      </w:r>
      <w:proofErr w:type="gramEnd"/>
      <w:r w:rsidRPr="00486637">
        <w:rPr>
          <w:rFonts w:ascii="仿宋_GB2312" w:eastAsia="仿宋_GB2312" w:hAnsi="仿宋" w:cs="仿宋" w:hint="eastAsia"/>
          <w:sz w:val="32"/>
          <w:szCs w:val="32"/>
        </w:rPr>
        <w:t>学年学习，仍未满足赴法条件的学生，将在东北大学完成非出国学生培养计划，成绩合格者颁发东北大学材料科学与工程专业的毕业证书和学士学位证书。</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在东北大学学习的前三学年，法国图卢兹大学派出18名教授到东北大学授课，承担的课程门数和学时数均超过总数的三分之一，所讲授课程采用原版教材或教师讲义，同时将配备中方助教，帮助学生深入理解。</w:t>
      </w:r>
    </w:p>
    <w:p w:rsidR="008B7B25" w:rsidRPr="00486637" w:rsidRDefault="008D59D2" w:rsidP="00486637">
      <w:pPr>
        <w:ind w:firstLineChars="200" w:firstLine="640"/>
        <w:rPr>
          <w:rFonts w:ascii="仿宋_GB2312" w:eastAsia="仿宋_GB2312" w:hAnsi="仿宋" w:cs="仿宋" w:hint="eastAsia"/>
          <w:sz w:val="32"/>
          <w:szCs w:val="32"/>
        </w:rPr>
      </w:pPr>
      <w:r w:rsidRPr="00486637">
        <w:rPr>
          <w:rFonts w:ascii="仿宋_GB2312" w:eastAsia="仿宋_GB2312" w:hAnsi="仿宋" w:cs="仿宋" w:hint="eastAsia"/>
          <w:sz w:val="32"/>
          <w:szCs w:val="32"/>
        </w:rPr>
        <w:t>图卢兹第三大学是图卢兹大学联盟成员之一，全称为“保尔·萨巴梯埃-图卢兹第三大学”，保尔·萨巴梯埃为该校教授、1912年诺贝尔化学奖得主。图卢兹第三大学的学术水平位于法国高校前列，在欧洲及世界都享有盛誉，在2016年上海交通大学ARWU世界大学学术排名中综合排名全球第236位，工学排名第173位。学校所处的图卢兹市是欧洲的航空航天中心，也是法国空中客车总部所在地，被称之为“欧洲的硅谷”，为学生提供了丰富的和高水平的科研环境，有“玩在巴黎，学在图卢兹”的美誉。学校占地3960亩，有教职工4576人，在校生31238人，其中本科生14901</w:t>
      </w:r>
      <w:r w:rsidRPr="00486637">
        <w:rPr>
          <w:rFonts w:ascii="仿宋_GB2312" w:eastAsia="仿宋_GB2312" w:hAnsi="仿宋" w:cs="仿宋" w:hint="eastAsia"/>
          <w:sz w:val="32"/>
          <w:szCs w:val="32"/>
        </w:rPr>
        <w:lastRenderedPageBreak/>
        <w:t>人。学校十分重视国际化，注册国际学生3789人，占注册学生总数的12%。</w:t>
      </w:r>
    </w:p>
    <w:sectPr w:rsidR="008B7B25" w:rsidRPr="00486637" w:rsidSect="007F62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E78" w:rsidRDefault="00497E78" w:rsidP="0002708A">
      <w:r>
        <w:separator/>
      </w:r>
    </w:p>
  </w:endnote>
  <w:endnote w:type="continuationSeparator" w:id="0">
    <w:p w:rsidR="00497E78" w:rsidRDefault="00497E78" w:rsidP="00027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E78" w:rsidRDefault="00497E78" w:rsidP="0002708A">
      <w:r>
        <w:separator/>
      </w:r>
    </w:p>
  </w:footnote>
  <w:footnote w:type="continuationSeparator" w:id="0">
    <w:p w:rsidR="00497E78" w:rsidRDefault="00497E78" w:rsidP="000270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C95110"/>
    <w:multiLevelType w:val="singleLevel"/>
    <w:tmpl w:val="9DC95110"/>
    <w:lvl w:ilvl="0">
      <w:start w:val="2"/>
      <w:numFmt w:val="chineseCounting"/>
      <w:suff w:val="nothing"/>
      <w:lvlText w:val="%1、"/>
      <w:lvlJc w:val="left"/>
      <w:rPr>
        <w:rFonts w:hint="eastAsia"/>
      </w:rPr>
    </w:lvl>
  </w:abstractNum>
  <w:abstractNum w:abstractNumId="1">
    <w:nsid w:val="E1C1649E"/>
    <w:multiLevelType w:val="singleLevel"/>
    <w:tmpl w:val="E1C1649E"/>
    <w:lvl w:ilvl="0">
      <w:start w:val="1"/>
      <w:numFmt w:val="decimal"/>
      <w:suff w:val="space"/>
      <w:lvlText w:val="%1."/>
      <w:lvlJc w:val="left"/>
    </w:lvl>
  </w:abstractNum>
  <w:abstractNum w:abstractNumId="2">
    <w:nsid w:val="2B2D0571"/>
    <w:multiLevelType w:val="multilevel"/>
    <w:tmpl w:val="2B2D0571"/>
    <w:lvl w:ilvl="0">
      <w:start w:val="1"/>
      <w:numFmt w:val="decimal"/>
      <w:lvlText w:val="%1."/>
      <w:lvlJc w:val="left"/>
      <w:pPr>
        <w:tabs>
          <w:tab w:val="left" w:pos="920"/>
        </w:tabs>
        <w:ind w:left="920" w:hanging="360"/>
      </w:pPr>
      <w:rPr>
        <w:rFonts w:hint="default"/>
      </w:r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3">
    <w:nsid w:val="4E9C076C"/>
    <w:multiLevelType w:val="multilevel"/>
    <w:tmpl w:val="4E9C076C"/>
    <w:lvl w:ilvl="0">
      <w:start w:val="1"/>
      <w:numFmt w:val="bullet"/>
      <w:lvlText w:val=""/>
      <w:lvlJc w:val="left"/>
      <w:pPr>
        <w:ind w:left="852" w:hanging="420"/>
      </w:pPr>
      <w:rPr>
        <w:rFonts w:ascii="Wingdings" w:hAnsi="Wingdings" w:hint="default"/>
      </w:rPr>
    </w:lvl>
    <w:lvl w:ilvl="1">
      <w:start w:val="1"/>
      <w:numFmt w:val="bullet"/>
      <w:lvlText w:val=""/>
      <w:lvlJc w:val="left"/>
      <w:pPr>
        <w:ind w:left="1272" w:hanging="420"/>
      </w:pPr>
      <w:rPr>
        <w:rFonts w:ascii="Wingdings" w:hAnsi="Wingdings" w:hint="default"/>
      </w:rPr>
    </w:lvl>
    <w:lvl w:ilvl="2">
      <w:start w:val="1"/>
      <w:numFmt w:val="bullet"/>
      <w:lvlText w:val=""/>
      <w:lvlJc w:val="left"/>
      <w:pPr>
        <w:ind w:left="1692" w:hanging="420"/>
      </w:pPr>
      <w:rPr>
        <w:rFonts w:ascii="Wingdings" w:hAnsi="Wingdings" w:hint="default"/>
      </w:rPr>
    </w:lvl>
    <w:lvl w:ilvl="3">
      <w:start w:val="1"/>
      <w:numFmt w:val="bullet"/>
      <w:lvlText w:val=""/>
      <w:lvlJc w:val="left"/>
      <w:pPr>
        <w:ind w:left="2112" w:hanging="420"/>
      </w:pPr>
      <w:rPr>
        <w:rFonts w:ascii="Wingdings" w:hAnsi="Wingdings" w:hint="default"/>
      </w:rPr>
    </w:lvl>
    <w:lvl w:ilvl="4">
      <w:start w:val="1"/>
      <w:numFmt w:val="bullet"/>
      <w:lvlText w:val=""/>
      <w:lvlJc w:val="left"/>
      <w:pPr>
        <w:ind w:left="2532" w:hanging="420"/>
      </w:pPr>
      <w:rPr>
        <w:rFonts w:ascii="Wingdings" w:hAnsi="Wingdings" w:hint="default"/>
      </w:rPr>
    </w:lvl>
    <w:lvl w:ilvl="5">
      <w:start w:val="1"/>
      <w:numFmt w:val="bullet"/>
      <w:lvlText w:val=""/>
      <w:lvlJc w:val="left"/>
      <w:pPr>
        <w:ind w:left="2952" w:hanging="420"/>
      </w:pPr>
      <w:rPr>
        <w:rFonts w:ascii="Wingdings" w:hAnsi="Wingdings" w:hint="default"/>
      </w:rPr>
    </w:lvl>
    <w:lvl w:ilvl="6">
      <w:start w:val="1"/>
      <w:numFmt w:val="bullet"/>
      <w:lvlText w:val=""/>
      <w:lvlJc w:val="left"/>
      <w:pPr>
        <w:ind w:left="3372" w:hanging="420"/>
      </w:pPr>
      <w:rPr>
        <w:rFonts w:ascii="Wingdings" w:hAnsi="Wingdings" w:hint="default"/>
      </w:rPr>
    </w:lvl>
    <w:lvl w:ilvl="7">
      <w:start w:val="1"/>
      <w:numFmt w:val="bullet"/>
      <w:lvlText w:val=""/>
      <w:lvlJc w:val="left"/>
      <w:pPr>
        <w:ind w:left="3792" w:hanging="420"/>
      </w:pPr>
      <w:rPr>
        <w:rFonts w:ascii="Wingdings" w:hAnsi="Wingdings" w:hint="default"/>
      </w:rPr>
    </w:lvl>
    <w:lvl w:ilvl="8">
      <w:start w:val="1"/>
      <w:numFmt w:val="bullet"/>
      <w:lvlText w:val=""/>
      <w:lvlJc w:val="left"/>
      <w:pPr>
        <w:ind w:left="4212"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B7B25"/>
    <w:rsid w:val="0002708A"/>
    <w:rsid w:val="000D4DCA"/>
    <w:rsid w:val="00261C2C"/>
    <w:rsid w:val="00486637"/>
    <w:rsid w:val="00497E78"/>
    <w:rsid w:val="004C6C29"/>
    <w:rsid w:val="006D7D4B"/>
    <w:rsid w:val="007D655F"/>
    <w:rsid w:val="007F62E6"/>
    <w:rsid w:val="00832DF7"/>
    <w:rsid w:val="008B7B25"/>
    <w:rsid w:val="008D59D2"/>
    <w:rsid w:val="00B0586F"/>
    <w:rsid w:val="00F717E3"/>
    <w:rsid w:val="00FE7C1A"/>
    <w:rsid w:val="0B38662A"/>
    <w:rsid w:val="0CAB150D"/>
    <w:rsid w:val="204F30BE"/>
    <w:rsid w:val="25806FCE"/>
    <w:rsid w:val="293A0418"/>
    <w:rsid w:val="2D566273"/>
    <w:rsid w:val="35E21B3A"/>
    <w:rsid w:val="48AE18C6"/>
    <w:rsid w:val="4F321F2F"/>
    <w:rsid w:val="55003D19"/>
    <w:rsid w:val="57CB21D2"/>
    <w:rsid w:val="65334B8F"/>
    <w:rsid w:val="72410B0D"/>
    <w:rsid w:val="7B551ED6"/>
    <w:rsid w:val="7B653E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2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F62E6"/>
    <w:pPr>
      <w:spacing w:beforeAutospacing="1" w:afterAutospacing="1"/>
      <w:jc w:val="left"/>
    </w:pPr>
    <w:rPr>
      <w:rFonts w:cs="Times New Roman"/>
      <w:kern w:val="0"/>
      <w:sz w:val="24"/>
    </w:rPr>
  </w:style>
  <w:style w:type="character" w:styleId="a4">
    <w:name w:val="Strong"/>
    <w:basedOn w:val="a0"/>
    <w:qFormat/>
    <w:rsid w:val="007F62E6"/>
    <w:rPr>
      <w:b/>
    </w:rPr>
  </w:style>
  <w:style w:type="table" w:styleId="a5">
    <w:name w:val="Table Grid"/>
    <w:basedOn w:val="a1"/>
    <w:qFormat/>
    <w:rsid w:val="007F62E6"/>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7F62E6"/>
    <w:pPr>
      <w:ind w:firstLineChars="200" w:firstLine="420"/>
    </w:pPr>
  </w:style>
  <w:style w:type="paragraph" w:styleId="a6">
    <w:name w:val="header"/>
    <w:basedOn w:val="a"/>
    <w:link w:val="Char"/>
    <w:rsid w:val="00027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2708A"/>
    <w:rPr>
      <w:kern w:val="2"/>
      <w:sz w:val="18"/>
      <w:szCs w:val="18"/>
    </w:rPr>
  </w:style>
  <w:style w:type="paragraph" w:styleId="a7">
    <w:name w:val="footer"/>
    <w:basedOn w:val="a"/>
    <w:link w:val="Char0"/>
    <w:rsid w:val="0002708A"/>
    <w:pPr>
      <w:tabs>
        <w:tab w:val="center" w:pos="4153"/>
        <w:tab w:val="right" w:pos="8306"/>
      </w:tabs>
      <w:snapToGrid w:val="0"/>
      <w:jc w:val="left"/>
    </w:pPr>
    <w:rPr>
      <w:sz w:val="18"/>
      <w:szCs w:val="18"/>
    </w:rPr>
  </w:style>
  <w:style w:type="character" w:customStyle="1" w:styleId="Char0">
    <w:name w:val="页脚 Char"/>
    <w:basedOn w:val="a0"/>
    <w:link w:val="a7"/>
    <w:rsid w:val="000270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table" w:styleId="a5">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ind w:firstLineChars="200" w:firstLine="420"/>
    </w:pPr>
  </w:style>
  <w:style w:type="paragraph" w:styleId="a6">
    <w:name w:val="header"/>
    <w:basedOn w:val="a"/>
    <w:link w:val="Char"/>
    <w:rsid w:val="000270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02708A"/>
    <w:rPr>
      <w:kern w:val="2"/>
      <w:sz w:val="18"/>
      <w:szCs w:val="18"/>
    </w:rPr>
  </w:style>
  <w:style w:type="paragraph" w:styleId="a7">
    <w:name w:val="footer"/>
    <w:basedOn w:val="a"/>
    <w:link w:val="Char0"/>
    <w:rsid w:val="0002708A"/>
    <w:pPr>
      <w:tabs>
        <w:tab w:val="center" w:pos="4153"/>
        <w:tab w:val="right" w:pos="8306"/>
      </w:tabs>
      <w:snapToGrid w:val="0"/>
      <w:jc w:val="left"/>
    </w:pPr>
    <w:rPr>
      <w:sz w:val="18"/>
      <w:szCs w:val="18"/>
    </w:rPr>
  </w:style>
  <w:style w:type="character" w:customStyle="1" w:styleId="Char0">
    <w:name w:val="页脚 Char"/>
    <w:basedOn w:val="a0"/>
    <w:link w:val="a7"/>
    <w:rsid w:val="0002708A"/>
    <w:rPr>
      <w:kern w:val="2"/>
      <w:sz w:val="18"/>
      <w:szCs w:val="18"/>
    </w:rPr>
  </w:style>
</w:styles>
</file>

<file path=word/webSettings.xml><?xml version="1.0" encoding="utf-8"?>
<w:webSettings xmlns:r="http://schemas.openxmlformats.org/officeDocument/2006/relationships" xmlns:w="http://schemas.openxmlformats.org/wordprocessingml/2006/main">
  <w:divs>
    <w:div w:id="432089262">
      <w:bodyDiv w:val="1"/>
      <w:marLeft w:val="0"/>
      <w:marRight w:val="0"/>
      <w:marTop w:val="0"/>
      <w:marBottom w:val="0"/>
      <w:divBdr>
        <w:top w:val="none" w:sz="0" w:space="0" w:color="auto"/>
        <w:left w:val="none" w:sz="0" w:space="0" w:color="auto"/>
        <w:bottom w:val="none" w:sz="0" w:space="0" w:color="auto"/>
        <w:right w:val="none" w:sz="0" w:space="0" w:color="auto"/>
      </w:divBdr>
    </w:div>
    <w:div w:id="161370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18</cp:revision>
  <dcterms:created xsi:type="dcterms:W3CDTF">2018-10-29T03:38:00Z</dcterms:created>
  <dcterms:modified xsi:type="dcterms:W3CDTF">2018-10-30T03:36:00Z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