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spacing w:before="0" w:after="0"/>
        <w:jc w:val="left"/>
        <w:rPr>
          <w:rFonts w:hint="eastAsia" w:ascii="仿宋_GB2312" w:hAnsi="宋体" w:eastAsia="仿宋_GB2312" w:cs="仿宋"/>
          <w:b w:val="0"/>
          <w:spacing w:val="3"/>
          <w:sz w:val="24"/>
          <w:szCs w:val="24"/>
        </w:rPr>
      </w:pPr>
      <w:r>
        <w:rPr>
          <w:rFonts w:hint="eastAsia" w:ascii="仿宋_GB2312" w:hAnsi="宋体" w:eastAsia="仿宋_GB2312" w:cs="仿宋"/>
          <w:b w:val="0"/>
          <w:spacing w:val="3"/>
          <w:sz w:val="24"/>
          <w:szCs w:val="24"/>
        </w:rPr>
        <w:t>附件1：</w:t>
      </w:r>
    </w:p>
    <w:p>
      <w:pPr>
        <w:pStyle w:val="2"/>
        <w:keepLines w:val="0"/>
        <w:spacing w:before="0" w:after="0"/>
        <w:jc w:val="center"/>
        <w:rPr>
          <w:rFonts w:ascii="宋体" w:hAnsi="宋体" w:eastAsia="宋体" w:cs="仿宋"/>
          <w:spacing w:val="3"/>
          <w:sz w:val="44"/>
          <w:szCs w:val="44"/>
        </w:rPr>
      </w:pPr>
      <w:r>
        <w:rPr>
          <w:rFonts w:hint="eastAsia" w:ascii="宋体" w:hAnsi="宋体" w:eastAsia="宋体" w:cs="仿宋"/>
          <w:spacing w:val="3"/>
          <w:sz w:val="44"/>
          <w:szCs w:val="44"/>
        </w:rPr>
        <w:t>东北大学本科教学督导制度</w:t>
      </w:r>
    </w:p>
    <w:p>
      <w:pPr>
        <w:spacing w:line="560" w:lineRule="exact"/>
        <w:jc w:val="center"/>
        <w:rPr>
          <w:rFonts w:hint="eastAsia" w:ascii="Times New Roman" w:hAnsi="Times New Roman" w:eastAsia="宋体" w:cs="Times New Roman"/>
          <w:sz w:val="21"/>
          <w:szCs w:val="21"/>
        </w:rPr>
      </w:pPr>
      <w:r>
        <w:rPr>
          <w:rFonts w:hint="eastAsia"/>
          <w:szCs w:val="32"/>
        </w:rPr>
        <w:t>东大教字[2017]32 号</w:t>
      </w:r>
    </w:p>
    <w:p>
      <w:pPr>
        <w:spacing w:line="560" w:lineRule="exact"/>
        <w:ind w:firstLine="632" w:firstLineChars="200"/>
        <w:rPr>
          <w:rFonts w:hint="eastAsia" w:hAnsi="宋体" w:cs="仿宋"/>
          <w:szCs w:val="32"/>
        </w:rPr>
      </w:pPr>
    </w:p>
    <w:p>
      <w:pPr>
        <w:spacing w:line="560" w:lineRule="exact"/>
        <w:ind w:firstLine="632" w:firstLineChars="200"/>
      </w:pPr>
      <w:r>
        <w:rPr>
          <w:rFonts w:hint="eastAsia" w:hAnsi="宋体" w:cs="仿宋"/>
          <w:szCs w:val="32"/>
        </w:rPr>
        <w:t>为进一步明晰督导功能，推进教学督导工作规范化、制度化，提高管理水平，学校根据强化内部质量保障体系建设的需要并结合我校实际，特制定本制度。</w:t>
      </w:r>
    </w:p>
    <w:p>
      <w:pPr>
        <w:pStyle w:val="3"/>
        <w:spacing w:line="560" w:lineRule="exact"/>
        <w:ind w:firstLine="632" w:firstLineChars="200"/>
        <w:jc w:val="left"/>
        <w:rPr>
          <w:rFonts w:hint="eastAsia" w:ascii="黑体" w:hAnsi="黑体" w:eastAsia="黑体" w:cs="仿宋"/>
          <w:sz w:val="32"/>
          <w:szCs w:val="32"/>
        </w:rPr>
      </w:pPr>
      <w:r>
        <w:rPr>
          <w:rFonts w:hint="eastAsia" w:ascii="黑体" w:hAnsi="黑体" w:eastAsia="黑体" w:cs="仿宋"/>
          <w:sz w:val="32"/>
          <w:szCs w:val="32"/>
        </w:rPr>
        <w:t>一、本科教学督导制度的意义</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 xml:space="preserve">教学督导制度作为大学保证教学正常教学秩序和教学质量的一个重要举措,是促进教育目标实现的有效机制，已成为大学教学质量保证体系的重要组成部分，建立和完善本科教学督导制度是高等教育健康发展的必要保障。本科教学督导的任务主要是对人才培养过程进行咨询、指导、监督检查及信息反馈，维护正常的教学秩序，促进教学质量稳步提高，并为校、院及教学职能部门提供决策依据。 </w:t>
      </w:r>
    </w:p>
    <w:p>
      <w:pPr>
        <w:pStyle w:val="3"/>
        <w:spacing w:line="560" w:lineRule="exact"/>
        <w:ind w:firstLine="632" w:firstLineChars="200"/>
        <w:jc w:val="left"/>
        <w:rPr>
          <w:rFonts w:hint="eastAsia" w:ascii="黑体" w:hAnsi="黑体" w:eastAsia="黑体" w:cs="仿宋"/>
          <w:sz w:val="32"/>
          <w:szCs w:val="32"/>
        </w:rPr>
      </w:pPr>
      <w:r>
        <w:rPr>
          <w:rFonts w:hint="eastAsia" w:ascii="黑体" w:hAnsi="黑体" w:eastAsia="黑体" w:cs="仿宋"/>
          <w:sz w:val="32"/>
          <w:szCs w:val="32"/>
        </w:rPr>
        <w:t>二、本科教学督导员的职责</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本科教学督导员负责对全校各专业本科教学秩序、教学质量、教学管理等工作咨询、指导、监督检查及信息反馈，其具体内容如下：</w:t>
      </w:r>
    </w:p>
    <w:p>
      <w:pPr>
        <w:pStyle w:val="3"/>
        <w:spacing w:line="560" w:lineRule="exact"/>
        <w:ind w:firstLine="632" w:firstLineChars="200"/>
        <w:jc w:val="left"/>
        <w:rPr>
          <w:rFonts w:hint="eastAsia" w:ascii="楷体" w:hAnsi="楷体" w:eastAsia="楷体" w:cs="仿宋"/>
          <w:sz w:val="32"/>
          <w:szCs w:val="32"/>
        </w:rPr>
      </w:pPr>
      <w:r>
        <w:rPr>
          <w:rFonts w:hint="eastAsia" w:ascii="楷体" w:hAnsi="楷体" w:eastAsia="楷体" w:cs="仿宋"/>
          <w:sz w:val="32"/>
          <w:szCs w:val="32"/>
        </w:rPr>
        <w:t>（一）巡视、检查本科课堂教学情况</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负责对各本科教学场馆进行常态性巡视；通过听课等形式，深入本科课堂教学，了解教师课堂教学情况及学生学习情况，填写《东北大学本科课堂教学专家听课记录表》（见附件），对教师的课堂教学质量进行定性与定量评价。</w:t>
      </w:r>
    </w:p>
    <w:p>
      <w:pPr>
        <w:pStyle w:val="3"/>
        <w:spacing w:line="560" w:lineRule="exact"/>
        <w:ind w:firstLine="632" w:firstLineChars="200"/>
        <w:jc w:val="left"/>
        <w:rPr>
          <w:rFonts w:hint="eastAsia" w:ascii="楷体" w:hAnsi="楷体" w:eastAsia="楷体" w:cs="仿宋"/>
          <w:sz w:val="32"/>
          <w:szCs w:val="32"/>
        </w:rPr>
      </w:pPr>
      <w:r>
        <w:rPr>
          <w:rFonts w:hint="eastAsia" w:ascii="楷体" w:hAnsi="楷体" w:eastAsia="楷体" w:cs="仿宋"/>
          <w:sz w:val="32"/>
          <w:szCs w:val="32"/>
        </w:rPr>
        <w:t>（二）协助学校检查教师教学档案</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对教师的教学日历、教案、批改作业情况等进行随机检查；根据学校本科教学质量监控工作要求，开展毕业设计、试卷等专项抽查工作。</w:t>
      </w:r>
    </w:p>
    <w:p>
      <w:pPr>
        <w:pStyle w:val="3"/>
        <w:spacing w:line="560" w:lineRule="exact"/>
        <w:ind w:firstLine="632" w:firstLineChars="200"/>
        <w:jc w:val="left"/>
        <w:rPr>
          <w:rFonts w:hint="eastAsia" w:ascii="楷体" w:hAnsi="楷体" w:eastAsia="楷体" w:cs="仿宋"/>
          <w:sz w:val="32"/>
          <w:szCs w:val="32"/>
        </w:rPr>
      </w:pPr>
      <w:r>
        <w:rPr>
          <w:rFonts w:hint="eastAsia" w:ascii="楷体" w:hAnsi="楷体" w:eastAsia="楷体" w:cs="仿宋"/>
          <w:sz w:val="32"/>
          <w:szCs w:val="32"/>
        </w:rPr>
        <w:t>（三）为本科教学相关部门提供咨询指导</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积极为学校及学院的教育管理、教学改革提供参谋与咨询，并通过组织师生座谈，及时了解和反馈师生的意见、要求和建议。</w:t>
      </w:r>
    </w:p>
    <w:p>
      <w:pPr>
        <w:pStyle w:val="3"/>
        <w:spacing w:line="560" w:lineRule="exact"/>
        <w:ind w:firstLine="632" w:firstLineChars="200"/>
        <w:jc w:val="left"/>
        <w:rPr>
          <w:rFonts w:hint="eastAsia" w:ascii="楷体" w:hAnsi="楷体" w:eastAsia="楷体" w:cs="仿宋"/>
          <w:sz w:val="32"/>
          <w:szCs w:val="32"/>
        </w:rPr>
      </w:pPr>
      <w:r>
        <w:rPr>
          <w:rFonts w:hint="eastAsia" w:ascii="楷体" w:hAnsi="楷体" w:eastAsia="楷体" w:cs="仿宋"/>
          <w:sz w:val="32"/>
          <w:szCs w:val="32"/>
        </w:rPr>
        <w:t>（四）完成本科教学信息反馈</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教学督导员工作完毕后，要区分不同情况，将意见和建议分别反馈给任课教师、各学院 (部、中心)院长(主任)或学校有关部门。检查中发现影响教学质量的问题要及时反馈，为学校处理、解决问题提供依据。</w:t>
      </w:r>
    </w:p>
    <w:p>
      <w:pPr>
        <w:pStyle w:val="3"/>
        <w:spacing w:line="560" w:lineRule="exact"/>
        <w:ind w:firstLine="632" w:firstLineChars="200"/>
        <w:jc w:val="left"/>
        <w:rPr>
          <w:rFonts w:hint="eastAsia" w:ascii="楷体" w:hAnsi="楷体" w:eastAsia="楷体" w:cs="仿宋"/>
          <w:sz w:val="32"/>
          <w:szCs w:val="32"/>
        </w:rPr>
      </w:pPr>
      <w:r>
        <w:rPr>
          <w:rFonts w:hint="eastAsia" w:ascii="楷体" w:hAnsi="楷体" w:eastAsia="楷体" w:cs="仿宋"/>
          <w:sz w:val="32"/>
          <w:szCs w:val="32"/>
        </w:rPr>
        <w:t>（五）建立教学督导例会制度</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建立教学督导例会制度，及时交流信息，并于每学期末，在认真总结该学期工作的基础上，写出改进学校(学院)教学、提高教学质量的总结报告。</w:t>
      </w:r>
    </w:p>
    <w:p>
      <w:pPr>
        <w:pStyle w:val="3"/>
        <w:spacing w:line="560" w:lineRule="exact"/>
        <w:ind w:firstLine="632" w:firstLineChars="200"/>
        <w:jc w:val="left"/>
        <w:rPr>
          <w:rFonts w:hint="eastAsia" w:ascii="黑体" w:hAnsi="黑体" w:eastAsia="黑体" w:cs="仿宋"/>
          <w:sz w:val="32"/>
          <w:szCs w:val="32"/>
        </w:rPr>
      </w:pPr>
      <w:r>
        <w:rPr>
          <w:rFonts w:hint="eastAsia" w:ascii="黑体" w:hAnsi="黑体" w:eastAsia="黑体" w:cs="仿宋"/>
          <w:sz w:val="32"/>
          <w:szCs w:val="32"/>
        </w:rPr>
        <w:t>三、本科教学督导员的聘任、组织与管理</w:t>
      </w:r>
    </w:p>
    <w:p>
      <w:pPr>
        <w:pStyle w:val="3"/>
        <w:spacing w:line="560" w:lineRule="exact"/>
        <w:ind w:firstLine="632" w:firstLineChars="200"/>
        <w:jc w:val="left"/>
        <w:rPr>
          <w:rFonts w:hint="eastAsia" w:ascii="楷体" w:hAnsi="楷体" w:eastAsia="楷体" w:cs="仿宋"/>
          <w:sz w:val="32"/>
          <w:szCs w:val="32"/>
        </w:rPr>
      </w:pPr>
      <w:r>
        <w:rPr>
          <w:rFonts w:hint="eastAsia" w:ascii="楷体" w:hAnsi="楷体" w:eastAsia="楷体" w:cs="仿宋"/>
          <w:sz w:val="32"/>
          <w:szCs w:val="32"/>
        </w:rPr>
        <w:t>（一）本科教学督导员的聘任</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本科教学督导员分为校、院两级。校级本科教学督导员由学校教学管理部门从离退休的教师和教学管理人员中选拔，由校长聘任。学校为督导员颁发聘书，一般聘期为两年。学院教学督导员由学院选拔、审查，由学院院长聘任，报学校教学管理部门备案。</w:t>
      </w:r>
    </w:p>
    <w:p>
      <w:pPr>
        <w:pStyle w:val="3"/>
        <w:spacing w:line="560" w:lineRule="exact"/>
        <w:ind w:firstLine="632" w:firstLineChars="200"/>
        <w:jc w:val="left"/>
        <w:rPr>
          <w:rFonts w:hint="eastAsia" w:ascii="楷体" w:hAnsi="楷体" w:eastAsia="楷体" w:cs="仿宋"/>
          <w:sz w:val="32"/>
          <w:szCs w:val="32"/>
        </w:rPr>
      </w:pPr>
      <w:r>
        <w:rPr>
          <w:rFonts w:hint="eastAsia" w:ascii="楷体" w:hAnsi="楷体" w:eastAsia="楷体" w:cs="仿宋"/>
          <w:sz w:val="32"/>
          <w:szCs w:val="32"/>
        </w:rPr>
        <w:t>（二）本科教学督导员应具备的条件</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本科教学督导员应具有高级专业技术职称，年龄不超过65周岁。热爱社会主义教育事业，思想素质好，为人正派，坚持原则，具有较强的事业心和责任感；具有较高的教育理论水平、政策水平、业务水平和较强的工作能力；</w:t>
      </w:r>
      <w:r>
        <w:rPr>
          <w:rFonts w:hint="eastAsia" w:ascii="仿宋_GB2312" w:hAnsi="宋体" w:eastAsia="仿宋_GB2312" w:cs="仿宋"/>
          <w:color w:val="000000"/>
          <w:sz w:val="32"/>
          <w:szCs w:val="32"/>
          <w:shd w:val="clear" w:color="auto" w:fill="FFFFFF"/>
        </w:rPr>
        <w:t>熟悉教学和教学管理工作程序，掌握学校教学方面的规章制度。</w:t>
      </w:r>
    </w:p>
    <w:p>
      <w:pPr>
        <w:pStyle w:val="3"/>
        <w:spacing w:line="560" w:lineRule="exact"/>
        <w:ind w:firstLine="632" w:firstLineChars="200"/>
        <w:jc w:val="left"/>
        <w:rPr>
          <w:rFonts w:hint="eastAsia" w:ascii="楷体" w:hAnsi="楷体" w:eastAsia="楷体" w:cs="仿宋"/>
          <w:sz w:val="32"/>
          <w:szCs w:val="32"/>
        </w:rPr>
      </w:pPr>
      <w:r>
        <w:rPr>
          <w:rFonts w:hint="eastAsia" w:ascii="楷体" w:hAnsi="楷体" w:eastAsia="楷体" w:cs="仿宋"/>
          <w:sz w:val="32"/>
          <w:szCs w:val="32"/>
        </w:rPr>
        <w:t>（三）本科教学督导组组织机构</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学校选聘教学督导员应按照学校有关规定签订合同。本科教学督导员数量一般为25名左右，并按照校区分布情况分别组建督导组。督导组设组长1—2名，负责组织安排督导组的工作。学校本科教学督导组由分管本科教学工作的副校长领导，校级教学管理部门负责组织、协调及处理教学督导过程中遇到的问题。</w:t>
      </w:r>
    </w:p>
    <w:p>
      <w:pPr>
        <w:pStyle w:val="3"/>
        <w:spacing w:line="560" w:lineRule="exact"/>
        <w:ind w:firstLine="632" w:firstLineChars="200"/>
        <w:jc w:val="left"/>
        <w:rPr>
          <w:rFonts w:hint="eastAsia" w:ascii="楷体" w:hAnsi="楷体" w:eastAsia="楷体" w:cs="仿宋"/>
          <w:sz w:val="32"/>
          <w:szCs w:val="32"/>
        </w:rPr>
      </w:pPr>
      <w:r>
        <w:rPr>
          <w:rFonts w:hint="eastAsia" w:ascii="楷体" w:hAnsi="楷体" w:eastAsia="楷体" w:cs="仿宋"/>
          <w:sz w:val="32"/>
          <w:szCs w:val="32"/>
        </w:rPr>
        <w:t>（四）本科教学督导员的管理</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校级本科教学督导员要按学校教学管理部门拟定的督导工作计划积极开展工作，如不能按规定履行职责或工作不负责任，学校教学管理部门应报请校长，予以解聘。</w:t>
      </w:r>
    </w:p>
    <w:p>
      <w:pPr>
        <w:pStyle w:val="3"/>
        <w:spacing w:line="560" w:lineRule="exact"/>
        <w:ind w:firstLine="632" w:firstLineChars="200"/>
        <w:jc w:val="left"/>
        <w:rPr>
          <w:rFonts w:hint="eastAsia" w:ascii="黑体" w:hAnsi="黑体" w:eastAsia="黑体" w:cs="仿宋"/>
          <w:sz w:val="32"/>
          <w:szCs w:val="32"/>
        </w:rPr>
      </w:pPr>
      <w:r>
        <w:rPr>
          <w:rFonts w:hint="eastAsia" w:ascii="黑体" w:hAnsi="黑体" w:eastAsia="黑体" w:cs="仿宋"/>
          <w:sz w:val="32"/>
          <w:szCs w:val="32"/>
        </w:rPr>
        <w:t>四、本科教学督导员的待遇</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校级本科教学督导员酬金按学校人事部门有关规定计发；学校教学管理部门负责为本科教学督导员提供工作量补贴，补贴标准为每人每月2000元，全年总计不超过20000元。</w:t>
      </w:r>
    </w:p>
    <w:p>
      <w:pPr>
        <w:pStyle w:val="3"/>
        <w:spacing w:line="560" w:lineRule="exact"/>
        <w:ind w:firstLine="632" w:firstLineChars="200"/>
        <w:jc w:val="left"/>
        <w:rPr>
          <w:rFonts w:hint="eastAsia" w:ascii="黑体" w:hAnsi="黑体" w:eastAsia="黑体" w:cs="仿宋"/>
          <w:sz w:val="32"/>
          <w:szCs w:val="32"/>
        </w:rPr>
      </w:pPr>
      <w:r>
        <w:rPr>
          <w:rFonts w:hint="eastAsia" w:ascii="黑体" w:hAnsi="黑体" w:eastAsia="黑体" w:cs="仿宋"/>
          <w:sz w:val="32"/>
          <w:szCs w:val="32"/>
        </w:rPr>
        <w:t xml:space="preserve"> 五、其他有关事宜</w:t>
      </w:r>
    </w:p>
    <w:p>
      <w:pPr>
        <w:pStyle w:val="3"/>
        <w:spacing w:line="560" w:lineRule="exact"/>
        <w:ind w:firstLine="632"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 xml:space="preserve">各教学部门要积极支持、配合教学督导员的工作。对阻挠、破坏教学督导员行使职责的部门或个人，学校将给予严肃处理；对教学督导员工作的意见应通过正常渠道反映到学校教学管理部门及有关学院解决。学校教学管理部门设专人负责本科教学督导组的服务工作，及时听取教学督导员的意见和建议，并定期向教学督导员通报处理情况。本科教学督导员听课前，一律不预先通知授课教师。 </w:t>
      </w:r>
    </w:p>
    <w:p>
      <w:pPr>
        <w:spacing w:line="560" w:lineRule="exact"/>
        <w:ind w:firstLine="632" w:firstLineChars="200"/>
        <w:rPr>
          <w:rFonts w:hint="eastAsia" w:hAnsi="宋体" w:cs="仿宋"/>
          <w:szCs w:val="32"/>
        </w:rPr>
      </w:pPr>
      <w:r>
        <w:rPr>
          <w:rFonts w:hint="eastAsia" w:ascii="黑体" w:hAnsi="黑体" w:eastAsia="黑体" w:cs="仿宋"/>
          <w:szCs w:val="32"/>
        </w:rPr>
        <w:t>六、本制度自2017年9月1日起施行，同时废除《东北大学教学督导制度实施办法（试行）》（东大教字〔2001〕23号）及《东北大学本科教学督导制度实施细则》（东大教字〔2008〕8号）。</w:t>
      </w:r>
    </w:p>
    <w:p>
      <w:pPr>
        <w:pStyle w:val="8"/>
        <w:widowControl/>
        <w:shd w:val="clear" w:color="auto" w:fill="FFFFFF"/>
        <w:spacing w:before="150" w:beforeAutospacing="0" w:after="150" w:afterAutospacing="0" w:line="288" w:lineRule="atLeast"/>
        <w:jc w:val="both"/>
        <w:textAlignment w:val="baseline"/>
        <w:rPr>
          <w:rFonts w:hint="eastAsia" w:hAnsi="仿宋_GB2312" w:cs="仿宋_GB2312"/>
          <w:kern w:val="2"/>
          <w:szCs w:val="24"/>
        </w:rPr>
      </w:pPr>
    </w:p>
    <w:p>
      <w:pPr>
        <w:pStyle w:val="8"/>
        <w:widowControl/>
        <w:shd w:val="clear" w:color="auto" w:fill="FFFFFF"/>
        <w:spacing w:before="150" w:beforeAutospacing="0" w:after="150" w:afterAutospacing="0" w:line="288" w:lineRule="atLeast"/>
        <w:jc w:val="both"/>
        <w:textAlignment w:val="baseline"/>
        <w:rPr>
          <w:rFonts w:hint="eastAsia" w:hAnsi="仿宋_GB2312" w:cs="仿宋_GB2312"/>
          <w:kern w:val="2"/>
          <w:szCs w:val="24"/>
        </w:rPr>
      </w:pPr>
    </w:p>
    <w:p>
      <w:pPr>
        <w:pStyle w:val="8"/>
        <w:widowControl/>
        <w:shd w:val="clear" w:color="auto" w:fill="FFFFFF"/>
        <w:spacing w:before="150" w:beforeAutospacing="0" w:after="150" w:afterAutospacing="0" w:line="288" w:lineRule="atLeast"/>
        <w:jc w:val="both"/>
        <w:textAlignment w:val="baseline"/>
        <w:rPr>
          <w:rFonts w:hint="eastAsia" w:hAnsi="仿宋_GB2312" w:cs="仿宋_GB2312"/>
          <w:kern w:val="2"/>
          <w:szCs w:val="24"/>
        </w:rPr>
      </w:pPr>
    </w:p>
    <w:p>
      <w:pPr>
        <w:pStyle w:val="8"/>
        <w:widowControl/>
        <w:shd w:val="clear" w:color="auto" w:fill="FFFFFF"/>
        <w:spacing w:before="150" w:beforeAutospacing="0" w:after="150" w:afterAutospacing="0" w:line="288" w:lineRule="atLeast"/>
        <w:jc w:val="both"/>
        <w:textAlignment w:val="baseline"/>
        <w:rPr>
          <w:rFonts w:hint="eastAsia" w:hAnsi="仿宋_GB2312" w:cs="仿宋_GB2312"/>
          <w:kern w:val="2"/>
          <w:szCs w:val="24"/>
        </w:rPr>
      </w:pPr>
    </w:p>
    <w:p>
      <w:pPr>
        <w:pStyle w:val="8"/>
        <w:widowControl/>
        <w:shd w:val="clear" w:color="auto" w:fill="FFFFFF"/>
        <w:spacing w:before="150" w:beforeAutospacing="0" w:after="150" w:afterAutospacing="0" w:line="288" w:lineRule="atLeast"/>
        <w:jc w:val="both"/>
        <w:textAlignment w:val="baseline"/>
        <w:rPr>
          <w:rFonts w:hint="eastAsia" w:hAnsi="仿宋_GB2312" w:cs="仿宋_GB2312"/>
          <w:kern w:val="2"/>
          <w:szCs w:val="24"/>
        </w:rPr>
      </w:pPr>
      <w:bookmarkStart w:id="0" w:name="_GoBack"/>
      <w:bookmarkEnd w:id="0"/>
    </w:p>
    <w:p>
      <w:pPr>
        <w:spacing w:line="560" w:lineRule="exact"/>
        <w:jc w:val="left"/>
        <w:rPr>
          <w:sz w:val="10"/>
          <w:szCs w:val="10"/>
        </w:rPr>
      </w:pPr>
    </w:p>
    <w:sectPr>
      <w:footerReference r:id="rId3" w:type="default"/>
      <w:footerReference r:id="rId4" w:type="even"/>
      <w:pgSz w:w="11906" w:h="16838"/>
      <w:pgMar w:top="2098" w:right="1417" w:bottom="1985" w:left="1417" w:header="1418" w:footer="1247"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44723"/>
    </w:sdtPr>
    <w:sdtEndPr>
      <w:rPr>
        <w:rFonts w:ascii="宋体" w:hAnsi="宋体" w:eastAsia="宋体"/>
        <w:sz w:val="28"/>
        <w:szCs w:val="28"/>
      </w:rPr>
    </w:sdtEndPr>
    <w:sdtContent>
      <w:p>
        <w:pPr>
          <w:pStyle w:val="6"/>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9 -</w:t>
        </w:r>
        <w:r>
          <w:rPr>
            <w:rFonts w:ascii="宋体" w:hAnsi="宋体" w:eastAsia="宋体"/>
            <w:sz w:val="28"/>
            <w:szCs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44722"/>
    </w:sdtPr>
    <w:sdtEndPr>
      <w:rPr>
        <w:rFonts w:ascii="宋体" w:hAnsi="宋体" w:eastAsia="宋体"/>
        <w:sz w:val="28"/>
        <w:szCs w:val="28"/>
      </w:rPr>
    </w:sdtEndPr>
    <w:sdtContent>
      <w:p>
        <w:pPr>
          <w:pStyle w:val="6"/>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8 -</w:t>
        </w:r>
        <w:r>
          <w:rPr>
            <w:rFonts w:ascii="宋体" w:hAnsi="宋体" w:eastAsia="宋体"/>
            <w:sz w:val="28"/>
            <w:szCs w:val="28"/>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attachedTemplate r:id="rId1"/>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24F84"/>
    <w:rsid w:val="00001DA7"/>
    <w:rsid w:val="000122AB"/>
    <w:rsid w:val="00013AFA"/>
    <w:rsid w:val="0007171C"/>
    <w:rsid w:val="000768FE"/>
    <w:rsid w:val="000776C9"/>
    <w:rsid w:val="00095611"/>
    <w:rsid w:val="00096700"/>
    <w:rsid w:val="00097FDD"/>
    <w:rsid w:val="000B0461"/>
    <w:rsid w:val="000E0637"/>
    <w:rsid w:val="000E7900"/>
    <w:rsid w:val="000F44E8"/>
    <w:rsid w:val="00112F7C"/>
    <w:rsid w:val="0011389E"/>
    <w:rsid w:val="00143279"/>
    <w:rsid w:val="00153A77"/>
    <w:rsid w:val="001640E9"/>
    <w:rsid w:val="001735F1"/>
    <w:rsid w:val="001746E9"/>
    <w:rsid w:val="001763C0"/>
    <w:rsid w:val="00191D2E"/>
    <w:rsid w:val="00196306"/>
    <w:rsid w:val="001B3D56"/>
    <w:rsid w:val="001D2FF9"/>
    <w:rsid w:val="001E0AE9"/>
    <w:rsid w:val="001E44F0"/>
    <w:rsid w:val="001E4BEF"/>
    <w:rsid w:val="001F33F8"/>
    <w:rsid w:val="001F4BCC"/>
    <w:rsid w:val="001F6681"/>
    <w:rsid w:val="002007DD"/>
    <w:rsid w:val="00201EC2"/>
    <w:rsid w:val="00220FD1"/>
    <w:rsid w:val="00221300"/>
    <w:rsid w:val="00226FC5"/>
    <w:rsid w:val="00227899"/>
    <w:rsid w:val="00266BE1"/>
    <w:rsid w:val="002A0783"/>
    <w:rsid w:val="002B225A"/>
    <w:rsid w:val="002B4106"/>
    <w:rsid w:val="002C0B8D"/>
    <w:rsid w:val="002D4A5B"/>
    <w:rsid w:val="002D7391"/>
    <w:rsid w:val="002F29BF"/>
    <w:rsid w:val="002F3856"/>
    <w:rsid w:val="003007DF"/>
    <w:rsid w:val="003022A3"/>
    <w:rsid w:val="00304F8A"/>
    <w:rsid w:val="00306048"/>
    <w:rsid w:val="003239CC"/>
    <w:rsid w:val="003317DC"/>
    <w:rsid w:val="00333093"/>
    <w:rsid w:val="00343C35"/>
    <w:rsid w:val="00364840"/>
    <w:rsid w:val="00375C41"/>
    <w:rsid w:val="00385E87"/>
    <w:rsid w:val="0039506F"/>
    <w:rsid w:val="003A217A"/>
    <w:rsid w:val="003B6435"/>
    <w:rsid w:val="003C326C"/>
    <w:rsid w:val="003D7061"/>
    <w:rsid w:val="003F4052"/>
    <w:rsid w:val="00404BDA"/>
    <w:rsid w:val="00412E24"/>
    <w:rsid w:val="00422C09"/>
    <w:rsid w:val="00423214"/>
    <w:rsid w:val="004322E8"/>
    <w:rsid w:val="0043662F"/>
    <w:rsid w:val="0044188E"/>
    <w:rsid w:val="00454B14"/>
    <w:rsid w:val="0045522D"/>
    <w:rsid w:val="00461925"/>
    <w:rsid w:val="00463630"/>
    <w:rsid w:val="00483E78"/>
    <w:rsid w:val="004F6B4E"/>
    <w:rsid w:val="00504C4B"/>
    <w:rsid w:val="00510C98"/>
    <w:rsid w:val="00511AD4"/>
    <w:rsid w:val="00514826"/>
    <w:rsid w:val="0053186B"/>
    <w:rsid w:val="005320B2"/>
    <w:rsid w:val="005650C4"/>
    <w:rsid w:val="00573CD3"/>
    <w:rsid w:val="00592230"/>
    <w:rsid w:val="005C0D34"/>
    <w:rsid w:val="005E2A40"/>
    <w:rsid w:val="00601014"/>
    <w:rsid w:val="00617677"/>
    <w:rsid w:val="00623579"/>
    <w:rsid w:val="0062475C"/>
    <w:rsid w:val="00625C64"/>
    <w:rsid w:val="00626853"/>
    <w:rsid w:val="00630CD4"/>
    <w:rsid w:val="00634361"/>
    <w:rsid w:val="00644DCA"/>
    <w:rsid w:val="0064745B"/>
    <w:rsid w:val="006529C0"/>
    <w:rsid w:val="00655694"/>
    <w:rsid w:val="0065774C"/>
    <w:rsid w:val="006636FC"/>
    <w:rsid w:val="00680A3F"/>
    <w:rsid w:val="0068254D"/>
    <w:rsid w:val="006A31D8"/>
    <w:rsid w:val="006A6FD3"/>
    <w:rsid w:val="006B2FE1"/>
    <w:rsid w:val="006B6285"/>
    <w:rsid w:val="006C5173"/>
    <w:rsid w:val="006D4C99"/>
    <w:rsid w:val="006E3B1A"/>
    <w:rsid w:val="006F1082"/>
    <w:rsid w:val="006F52B7"/>
    <w:rsid w:val="007149DA"/>
    <w:rsid w:val="00714D1E"/>
    <w:rsid w:val="00732E11"/>
    <w:rsid w:val="00740EB8"/>
    <w:rsid w:val="00745064"/>
    <w:rsid w:val="007508D4"/>
    <w:rsid w:val="00762657"/>
    <w:rsid w:val="0077197C"/>
    <w:rsid w:val="0077428A"/>
    <w:rsid w:val="00787836"/>
    <w:rsid w:val="007900CF"/>
    <w:rsid w:val="007A4F9B"/>
    <w:rsid w:val="007A5A38"/>
    <w:rsid w:val="007B0834"/>
    <w:rsid w:val="007B127A"/>
    <w:rsid w:val="007E40C4"/>
    <w:rsid w:val="007E44F6"/>
    <w:rsid w:val="00804771"/>
    <w:rsid w:val="008143F2"/>
    <w:rsid w:val="00843395"/>
    <w:rsid w:val="00846178"/>
    <w:rsid w:val="00846E5B"/>
    <w:rsid w:val="008B2FCB"/>
    <w:rsid w:val="008C4B4E"/>
    <w:rsid w:val="008F14D2"/>
    <w:rsid w:val="008F7A53"/>
    <w:rsid w:val="009017AE"/>
    <w:rsid w:val="0091381F"/>
    <w:rsid w:val="00924F84"/>
    <w:rsid w:val="00930F08"/>
    <w:rsid w:val="009459EF"/>
    <w:rsid w:val="00946662"/>
    <w:rsid w:val="009530BA"/>
    <w:rsid w:val="00966856"/>
    <w:rsid w:val="009E5CF5"/>
    <w:rsid w:val="00A17E08"/>
    <w:rsid w:val="00A21FC8"/>
    <w:rsid w:val="00A3303A"/>
    <w:rsid w:val="00A44887"/>
    <w:rsid w:val="00A50AC4"/>
    <w:rsid w:val="00A56128"/>
    <w:rsid w:val="00A81FFB"/>
    <w:rsid w:val="00A9243D"/>
    <w:rsid w:val="00AB3463"/>
    <w:rsid w:val="00AB7185"/>
    <w:rsid w:val="00AC3B15"/>
    <w:rsid w:val="00AC6032"/>
    <w:rsid w:val="00AE42E2"/>
    <w:rsid w:val="00AE4F69"/>
    <w:rsid w:val="00B006B4"/>
    <w:rsid w:val="00B32F7D"/>
    <w:rsid w:val="00B41721"/>
    <w:rsid w:val="00B53E51"/>
    <w:rsid w:val="00B91403"/>
    <w:rsid w:val="00B94EC0"/>
    <w:rsid w:val="00BA1816"/>
    <w:rsid w:val="00BD4457"/>
    <w:rsid w:val="00BD70AD"/>
    <w:rsid w:val="00BE494A"/>
    <w:rsid w:val="00BE7881"/>
    <w:rsid w:val="00BF4EA9"/>
    <w:rsid w:val="00C019F2"/>
    <w:rsid w:val="00C10B49"/>
    <w:rsid w:val="00C10BB9"/>
    <w:rsid w:val="00C13859"/>
    <w:rsid w:val="00C432F0"/>
    <w:rsid w:val="00C45905"/>
    <w:rsid w:val="00C64D5A"/>
    <w:rsid w:val="00CA6993"/>
    <w:rsid w:val="00CD1BB6"/>
    <w:rsid w:val="00CE429A"/>
    <w:rsid w:val="00CF721A"/>
    <w:rsid w:val="00D0148E"/>
    <w:rsid w:val="00D30EA0"/>
    <w:rsid w:val="00D43A53"/>
    <w:rsid w:val="00D50E5C"/>
    <w:rsid w:val="00D51A86"/>
    <w:rsid w:val="00D54329"/>
    <w:rsid w:val="00D55FE3"/>
    <w:rsid w:val="00D76B2D"/>
    <w:rsid w:val="00D969C6"/>
    <w:rsid w:val="00D972B4"/>
    <w:rsid w:val="00DA3D3A"/>
    <w:rsid w:val="00DA41EA"/>
    <w:rsid w:val="00DA78F0"/>
    <w:rsid w:val="00DC4C89"/>
    <w:rsid w:val="00DD42E8"/>
    <w:rsid w:val="00DE1155"/>
    <w:rsid w:val="00DE1FA9"/>
    <w:rsid w:val="00DE2206"/>
    <w:rsid w:val="00DF67A3"/>
    <w:rsid w:val="00E23CC4"/>
    <w:rsid w:val="00E25740"/>
    <w:rsid w:val="00E41CCE"/>
    <w:rsid w:val="00E62837"/>
    <w:rsid w:val="00E67A80"/>
    <w:rsid w:val="00EA2A99"/>
    <w:rsid w:val="00EA5DD5"/>
    <w:rsid w:val="00EA6D13"/>
    <w:rsid w:val="00EB178F"/>
    <w:rsid w:val="00EC3C18"/>
    <w:rsid w:val="00ED1593"/>
    <w:rsid w:val="00EE1533"/>
    <w:rsid w:val="00EE1D21"/>
    <w:rsid w:val="00EF1863"/>
    <w:rsid w:val="00EF2A39"/>
    <w:rsid w:val="00EF4373"/>
    <w:rsid w:val="00EF43B6"/>
    <w:rsid w:val="00EF5695"/>
    <w:rsid w:val="00F035B1"/>
    <w:rsid w:val="00F110F2"/>
    <w:rsid w:val="00F51A61"/>
    <w:rsid w:val="00F56BB8"/>
    <w:rsid w:val="00F60C5D"/>
    <w:rsid w:val="00F86A16"/>
    <w:rsid w:val="00FA243C"/>
    <w:rsid w:val="00FA5B5A"/>
    <w:rsid w:val="00FC6D36"/>
    <w:rsid w:val="00FD09BC"/>
    <w:rsid w:val="00FD4516"/>
    <w:rsid w:val="022E3BAC"/>
    <w:rsid w:val="038F59AC"/>
    <w:rsid w:val="03AD2759"/>
    <w:rsid w:val="03B04B2B"/>
    <w:rsid w:val="03C727A8"/>
    <w:rsid w:val="048F02E0"/>
    <w:rsid w:val="04E73D9D"/>
    <w:rsid w:val="05C15EA6"/>
    <w:rsid w:val="060201CC"/>
    <w:rsid w:val="060C24BF"/>
    <w:rsid w:val="06CD245E"/>
    <w:rsid w:val="07CB46ED"/>
    <w:rsid w:val="087D45BB"/>
    <w:rsid w:val="0911322D"/>
    <w:rsid w:val="09227F8B"/>
    <w:rsid w:val="093D29BF"/>
    <w:rsid w:val="097A5758"/>
    <w:rsid w:val="09822649"/>
    <w:rsid w:val="0AC170D8"/>
    <w:rsid w:val="0ADB7AD1"/>
    <w:rsid w:val="0B9C140E"/>
    <w:rsid w:val="0C2A3713"/>
    <w:rsid w:val="0C65024D"/>
    <w:rsid w:val="0CFD0CCE"/>
    <w:rsid w:val="0F430ABC"/>
    <w:rsid w:val="10D44448"/>
    <w:rsid w:val="1141081A"/>
    <w:rsid w:val="11EC318B"/>
    <w:rsid w:val="1325354A"/>
    <w:rsid w:val="1344707A"/>
    <w:rsid w:val="142B0397"/>
    <w:rsid w:val="151E66B3"/>
    <w:rsid w:val="167C1C5D"/>
    <w:rsid w:val="17332F08"/>
    <w:rsid w:val="176A5193"/>
    <w:rsid w:val="179D5053"/>
    <w:rsid w:val="1BA32F38"/>
    <w:rsid w:val="1BCE601C"/>
    <w:rsid w:val="1CF91B50"/>
    <w:rsid w:val="1D415DAD"/>
    <w:rsid w:val="1DC80666"/>
    <w:rsid w:val="1E230A11"/>
    <w:rsid w:val="1EA55ADF"/>
    <w:rsid w:val="1EBE1496"/>
    <w:rsid w:val="1EE10B22"/>
    <w:rsid w:val="1FF552A4"/>
    <w:rsid w:val="20445DFB"/>
    <w:rsid w:val="210F2439"/>
    <w:rsid w:val="21193FBD"/>
    <w:rsid w:val="21EC1589"/>
    <w:rsid w:val="234F189B"/>
    <w:rsid w:val="25D03E45"/>
    <w:rsid w:val="26E7324A"/>
    <w:rsid w:val="273409D2"/>
    <w:rsid w:val="2839348F"/>
    <w:rsid w:val="29D1718F"/>
    <w:rsid w:val="2ACC6C21"/>
    <w:rsid w:val="2C723621"/>
    <w:rsid w:val="2D6A208F"/>
    <w:rsid w:val="2DB039E5"/>
    <w:rsid w:val="2E88551A"/>
    <w:rsid w:val="2EC57232"/>
    <w:rsid w:val="2FC24EA5"/>
    <w:rsid w:val="2FE24FC3"/>
    <w:rsid w:val="30632888"/>
    <w:rsid w:val="308A64ED"/>
    <w:rsid w:val="309E3DE4"/>
    <w:rsid w:val="318E16FE"/>
    <w:rsid w:val="32174190"/>
    <w:rsid w:val="322A5A37"/>
    <w:rsid w:val="33974837"/>
    <w:rsid w:val="33E82505"/>
    <w:rsid w:val="344101F2"/>
    <w:rsid w:val="347950BD"/>
    <w:rsid w:val="35D3728E"/>
    <w:rsid w:val="390506CF"/>
    <w:rsid w:val="3B22175C"/>
    <w:rsid w:val="3DC0683F"/>
    <w:rsid w:val="3DC478FC"/>
    <w:rsid w:val="3E2B052D"/>
    <w:rsid w:val="3ECE3EAF"/>
    <w:rsid w:val="3EE71210"/>
    <w:rsid w:val="3F0269D6"/>
    <w:rsid w:val="3F105CBC"/>
    <w:rsid w:val="3F457EDD"/>
    <w:rsid w:val="3F5B2DA5"/>
    <w:rsid w:val="3FB0159E"/>
    <w:rsid w:val="40033AE0"/>
    <w:rsid w:val="4022166F"/>
    <w:rsid w:val="410435E5"/>
    <w:rsid w:val="41AA506E"/>
    <w:rsid w:val="42845F0E"/>
    <w:rsid w:val="438968AD"/>
    <w:rsid w:val="44E843A7"/>
    <w:rsid w:val="45121EE3"/>
    <w:rsid w:val="471C6013"/>
    <w:rsid w:val="484E453C"/>
    <w:rsid w:val="494B6AB3"/>
    <w:rsid w:val="49E912BB"/>
    <w:rsid w:val="4A1E3E3E"/>
    <w:rsid w:val="4A80395E"/>
    <w:rsid w:val="4B422957"/>
    <w:rsid w:val="4BE97529"/>
    <w:rsid w:val="4D7B20DE"/>
    <w:rsid w:val="4E447140"/>
    <w:rsid w:val="4F8E0D6E"/>
    <w:rsid w:val="4FA47CEF"/>
    <w:rsid w:val="4FA84519"/>
    <w:rsid w:val="4FA955C0"/>
    <w:rsid w:val="503E0C56"/>
    <w:rsid w:val="506E5FE9"/>
    <w:rsid w:val="50FA21A7"/>
    <w:rsid w:val="50FF2D81"/>
    <w:rsid w:val="510D5270"/>
    <w:rsid w:val="5134781C"/>
    <w:rsid w:val="51EA3AFB"/>
    <w:rsid w:val="52174870"/>
    <w:rsid w:val="53DF6746"/>
    <w:rsid w:val="54F07236"/>
    <w:rsid w:val="55133227"/>
    <w:rsid w:val="566C3FEA"/>
    <w:rsid w:val="574855E9"/>
    <w:rsid w:val="59692CBA"/>
    <w:rsid w:val="5ACD72F9"/>
    <w:rsid w:val="5AE34E22"/>
    <w:rsid w:val="5C6F3427"/>
    <w:rsid w:val="5D672105"/>
    <w:rsid w:val="5DBF6F74"/>
    <w:rsid w:val="5F081189"/>
    <w:rsid w:val="601664CB"/>
    <w:rsid w:val="62B03CDE"/>
    <w:rsid w:val="6367312E"/>
    <w:rsid w:val="639027E8"/>
    <w:rsid w:val="63AD4084"/>
    <w:rsid w:val="63DE6628"/>
    <w:rsid w:val="63E75702"/>
    <w:rsid w:val="647653A7"/>
    <w:rsid w:val="64DE336B"/>
    <w:rsid w:val="658F200B"/>
    <w:rsid w:val="67031742"/>
    <w:rsid w:val="670D193B"/>
    <w:rsid w:val="67885345"/>
    <w:rsid w:val="68AD43B7"/>
    <w:rsid w:val="6A0A5F09"/>
    <w:rsid w:val="6AFE5D47"/>
    <w:rsid w:val="6C104725"/>
    <w:rsid w:val="6C1174C3"/>
    <w:rsid w:val="6C1A5BEF"/>
    <w:rsid w:val="6C4E05C5"/>
    <w:rsid w:val="6E8A0B0E"/>
    <w:rsid w:val="6EC613D3"/>
    <w:rsid w:val="6F574042"/>
    <w:rsid w:val="6FC26A77"/>
    <w:rsid w:val="701960DF"/>
    <w:rsid w:val="73186DF9"/>
    <w:rsid w:val="73431FA7"/>
    <w:rsid w:val="736351E2"/>
    <w:rsid w:val="737E2C9F"/>
    <w:rsid w:val="74644D80"/>
    <w:rsid w:val="74994A98"/>
    <w:rsid w:val="74FE3577"/>
    <w:rsid w:val="7502523B"/>
    <w:rsid w:val="755D7459"/>
    <w:rsid w:val="756D5F05"/>
    <w:rsid w:val="75DE12A8"/>
    <w:rsid w:val="76EF640D"/>
    <w:rsid w:val="770F02C8"/>
    <w:rsid w:val="776A2880"/>
    <w:rsid w:val="785618FE"/>
    <w:rsid w:val="79D051C2"/>
    <w:rsid w:val="79DF508D"/>
    <w:rsid w:val="7AED4B92"/>
    <w:rsid w:val="7AFD317D"/>
    <w:rsid w:val="7B6507A8"/>
    <w:rsid w:val="7ED748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iPriority="99" w:semiHidden="0" w:name="header" w:locked="1"/>
    <w:lsdException w:qFormat="1"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iPriority="99"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32"/>
      <w:szCs w:val="22"/>
      <w:lang w:val="en-US" w:eastAsia="zh-CN" w:bidi="ar-SA"/>
    </w:rPr>
  </w:style>
  <w:style w:type="paragraph" w:styleId="2">
    <w:name w:val="heading 2"/>
    <w:basedOn w:val="1"/>
    <w:next w:val="1"/>
    <w:link w:val="18"/>
    <w:qFormat/>
    <w:locked/>
    <w:uiPriority w:val="99"/>
    <w:pPr>
      <w:keepNext/>
      <w:keepLines/>
      <w:spacing w:before="260" w:after="260" w:line="412" w:lineRule="auto"/>
      <w:outlineLvl w:val="1"/>
    </w:pPr>
    <w:rPr>
      <w:rFonts w:ascii="Arial" w:hAnsi="Arial" w:eastAsia="黑体" w:cs="Arial"/>
      <w:b/>
      <w:bCs/>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9"/>
    <w:unhideWhenUsed/>
    <w:qFormat/>
    <w:locked/>
    <w:uiPriority w:val="99"/>
    <w:rPr>
      <w:rFonts w:ascii="宋体" w:hAnsi="Courier New" w:eastAsia="宋体" w:cs="宋体"/>
      <w:sz w:val="21"/>
      <w:szCs w:val="21"/>
    </w:rPr>
  </w:style>
  <w:style w:type="paragraph" w:styleId="4">
    <w:name w:val="Date"/>
    <w:basedOn w:val="1"/>
    <w:next w:val="1"/>
    <w:link w:val="16"/>
    <w:semiHidden/>
    <w:unhideWhenUsed/>
    <w:qFormat/>
    <w:locked/>
    <w:uiPriority w:val="99"/>
    <w:pPr>
      <w:ind w:left="100" w:leftChars="2500"/>
    </w:pPr>
  </w:style>
  <w:style w:type="paragraph" w:styleId="5">
    <w:name w:val="Balloon Text"/>
    <w:basedOn w:val="1"/>
    <w:link w:val="17"/>
    <w:semiHidden/>
    <w:unhideWhenUsed/>
    <w:qFormat/>
    <w:locked/>
    <w:uiPriority w:val="99"/>
    <w:rPr>
      <w:sz w:val="18"/>
      <w:szCs w:val="18"/>
    </w:rPr>
  </w:style>
  <w:style w:type="paragraph" w:styleId="6">
    <w:name w:val="footer"/>
    <w:basedOn w:val="1"/>
    <w:link w:val="15"/>
    <w:unhideWhenUsed/>
    <w:qFormat/>
    <w:locked/>
    <w:uiPriority w:val="99"/>
    <w:pPr>
      <w:tabs>
        <w:tab w:val="center" w:pos="4153"/>
        <w:tab w:val="right" w:pos="8306"/>
      </w:tabs>
      <w:snapToGrid w:val="0"/>
      <w:jc w:val="left"/>
    </w:pPr>
    <w:rPr>
      <w:sz w:val="18"/>
      <w:szCs w:val="18"/>
    </w:rPr>
  </w:style>
  <w:style w:type="paragraph" w:styleId="7">
    <w:name w:val="header"/>
    <w:basedOn w:val="1"/>
    <w:link w:val="14"/>
    <w:unhideWhenUsed/>
    <w:qFormat/>
    <w:lock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locked/>
    <w:uiPriority w:val="99"/>
    <w:pPr>
      <w:spacing w:beforeAutospacing="1" w:afterAutospacing="1"/>
      <w:jc w:val="left"/>
    </w:pPr>
    <w:rPr>
      <w:rFonts w:cs="Times New Roman"/>
      <w:kern w:val="0"/>
      <w:sz w:val="24"/>
    </w:rPr>
  </w:style>
  <w:style w:type="table" w:styleId="10">
    <w:name w:val="Table Grid"/>
    <w:basedOn w:val="9"/>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locked/>
    <w:uiPriority w:val="22"/>
    <w:rPr>
      <w:b/>
    </w:rPr>
  </w:style>
  <w:style w:type="character" w:styleId="13">
    <w:name w:val="Hyperlink"/>
    <w:basedOn w:val="11"/>
    <w:semiHidden/>
    <w:unhideWhenUsed/>
    <w:qFormat/>
    <w:locked/>
    <w:uiPriority w:val="99"/>
    <w:rPr>
      <w:color w:val="0000FF"/>
      <w:u w:val="single"/>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日期 Char"/>
    <w:basedOn w:val="11"/>
    <w:link w:val="4"/>
    <w:semiHidden/>
    <w:qFormat/>
    <w:uiPriority w:val="99"/>
  </w:style>
  <w:style w:type="character" w:customStyle="1" w:styleId="17">
    <w:name w:val="批注框文本 Char"/>
    <w:basedOn w:val="11"/>
    <w:link w:val="5"/>
    <w:semiHidden/>
    <w:qFormat/>
    <w:uiPriority w:val="99"/>
    <w:rPr>
      <w:sz w:val="18"/>
      <w:szCs w:val="18"/>
    </w:rPr>
  </w:style>
  <w:style w:type="character" w:customStyle="1" w:styleId="18">
    <w:name w:val="标题 2 Char"/>
    <w:basedOn w:val="11"/>
    <w:link w:val="2"/>
    <w:qFormat/>
    <w:uiPriority w:val="99"/>
    <w:rPr>
      <w:rFonts w:ascii="Arial" w:hAnsi="Arial" w:eastAsia="黑体" w:cs="Arial"/>
      <w:b/>
      <w:bCs/>
      <w:kern w:val="2"/>
      <w:sz w:val="32"/>
      <w:szCs w:val="32"/>
    </w:rPr>
  </w:style>
  <w:style w:type="character" w:customStyle="1" w:styleId="19">
    <w:name w:val="纯文本 Char"/>
    <w:basedOn w:val="11"/>
    <w:link w:val="3"/>
    <w:qFormat/>
    <w:uiPriority w:val="99"/>
    <w:rPr>
      <w:rFonts w:ascii="宋体" w:hAnsi="Courier New" w:cs="宋体"/>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844;&#25991;&#22788;&#29702;\&#21457;&#25991;\&#22788;&#21457;&#25991;\2015\&#22235;&#27425;&#20462;&#25913;\&#22788;&#21457;&#25991;&#20214;&#27169;&#26495;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AC83C1-0133-4189-94EB-89BA13634735}">
  <ds:schemaRefs/>
</ds:datastoreItem>
</file>

<file path=docProps/app.xml><?xml version="1.0" encoding="utf-8"?>
<Properties xmlns="http://schemas.openxmlformats.org/officeDocument/2006/extended-properties" xmlns:vt="http://schemas.openxmlformats.org/officeDocument/2006/docPropsVTypes">
  <Template>处发文件模板2</Template>
  <Company>HP(惠普)电脑</Company>
  <Pages>12</Pages>
  <Words>771</Words>
  <Characters>4396</Characters>
  <Lines>36</Lines>
  <Paragraphs>10</Paragraphs>
  <TotalTime>55</TotalTime>
  <ScaleCrop>false</ScaleCrop>
  <LinksUpToDate>false</LinksUpToDate>
  <CharactersWithSpaces>5157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2016-04-12T03:39:00Z</dcterms:created>
  <dc:creator>HP</dc:creator>
  <cp:lastModifiedBy>lenovo</cp:lastModifiedBy>
  <cp:lastPrinted>2020-07-14T00:17:00Z</cp:lastPrinted>
  <dcterms:modified xsi:type="dcterms:W3CDTF">2020-07-14T06:26:53Z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