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C4C" w:rsidRPr="00240734" w:rsidRDefault="00AC25B9" w:rsidP="00240734">
      <w:pPr>
        <w:adjustRightInd w:val="0"/>
        <w:snapToGrid w:val="0"/>
        <w:spacing w:afterLines="50" w:after="156" w:line="500" w:lineRule="exact"/>
        <w:rPr>
          <w:rFonts w:eastAsia="方正小标宋简体"/>
          <w:sz w:val="28"/>
          <w:szCs w:val="28"/>
        </w:rPr>
      </w:pPr>
      <w:r w:rsidRPr="00240734">
        <w:rPr>
          <w:rFonts w:ascii="黑体" w:eastAsia="黑体" w:hAnsi="黑体" w:hint="eastAsia"/>
          <w:b/>
          <w:sz w:val="28"/>
          <w:szCs w:val="28"/>
        </w:rPr>
        <w:t>附件1</w:t>
      </w:r>
    </w:p>
    <w:p w:rsidR="00F62C4C" w:rsidRPr="00240734" w:rsidRDefault="00087D7B" w:rsidP="00240734">
      <w:pPr>
        <w:adjustRightInd w:val="0"/>
        <w:snapToGrid w:val="0"/>
        <w:spacing w:afterLines="50" w:after="156" w:line="500" w:lineRule="exact"/>
        <w:jc w:val="center"/>
        <w:rPr>
          <w:rFonts w:eastAsia="方正小标宋简体"/>
          <w:sz w:val="44"/>
          <w:szCs w:val="44"/>
        </w:rPr>
      </w:pPr>
      <w:r>
        <w:rPr>
          <w:rFonts w:ascii="微软雅黑" w:eastAsia="微软雅黑" w:hAnsi="微软雅黑" w:cs="微软雅黑" w:hint="eastAsia"/>
          <w:b/>
          <w:sz w:val="44"/>
          <w:szCs w:val="44"/>
        </w:rPr>
        <w:t>高等学校实验室安全检查项目表</w:t>
      </w:r>
      <w:bookmarkStart w:id="0" w:name="_GoBack"/>
      <w:bookmarkEnd w:id="0"/>
      <w:r w:rsidR="00AC25B9" w:rsidRPr="00240734">
        <w:rPr>
          <w:rFonts w:eastAsia="方正小标宋简体"/>
          <w:b/>
          <w:sz w:val="44"/>
          <w:szCs w:val="44"/>
        </w:rPr>
        <w:t>（</w:t>
      </w:r>
      <w:r w:rsidR="00AC25B9" w:rsidRPr="00240734">
        <w:rPr>
          <w:rFonts w:eastAsia="方正小标宋简体"/>
          <w:b/>
          <w:sz w:val="44"/>
          <w:szCs w:val="44"/>
        </w:rPr>
        <w:t>20</w:t>
      </w:r>
      <w:r w:rsidR="00AC25B9" w:rsidRPr="00240734">
        <w:rPr>
          <w:rFonts w:eastAsia="方正小标宋简体" w:hint="eastAsia"/>
          <w:b/>
          <w:sz w:val="44"/>
          <w:szCs w:val="44"/>
        </w:rPr>
        <w:t>21</w:t>
      </w:r>
      <w:r w:rsidR="00AC25B9" w:rsidRPr="00240734">
        <w:rPr>
          <w:rFonts w:eastAsia="方正小标宋简体"/>
          <w:b/>
          <w:sz w:val="44"/>
          <w:szCs w:val="44"/>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F62C4C">
        <w:trPr>
          <w:trHeight w:val="643"/>
          <w:tblHeader/>
          <w:jc w:val="center"/>
        </w:trPr>
        <w:tc>
          <w:tcPr>
            <w:tcW w:w="848"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情况记录</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rFonts w:hint="eastAsia"/>
                <w:b/>
                <w:kern w:val="0"/>
                <w:szCs w:val="21"/>
              </w:rPr>
              <w:t>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学校层面安全责任体系</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有校级制度，内容含实验室安全的法人责任、党政同责、领导机构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有实验室安全主管职能部门，与其他相关职能部门分工明确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w:t>
            </w:r>
            <w:r>
              <w:rPr>
                <w:rFonts w:hint="eastAsia"/>
                <w:kern w:val="0"/>
                <w:szCs w:val="21"/>
              </w:rPr>
              <w:t>告知书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档案或信息系统里有现任学校领导与院系主管签字盖章的安全责任书</w:t>
            </w:r>
            <w:r>
              <w:rPr>
                <w:rFonts w:hint="eastAsia"/>
                <w:kern w:val="0"/>
                <w:szCs w:val="21"/>
              </w:rPr>
              <w:t>/</w:t>
            </w:r>
            <w:r>
              <w:rPr>
                <w:rFonts w:hint="eastAsia"/>
                <w:kern w:val="0"/>
                <w:szCs w:val="21"/>
              </w:rPr>
              <w:t>告知书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院系层面安全责任体系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b/>
                <w:bCs/>
                <w:kern w:val="0"/>
                <w:szCs w:val="21"/>
              </w:rPr>
              <w:t>经费保障</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队伍建设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有实验室安全督查</w:t>
            </w:r>
            <w:r>
              <w:rPr>
                <w:rFonts w:hint="eastAsia"/>
                <w:kern w:val="0"/>
                <w:szCs w:val="21"/>
              </w:rPr>
              <w:t>/</w:t>
            </w:r>
            <w:r>
              <w:rPr>
                <w:rFonts w:hint="eastAsia"/>
                <w:kern w:val="0"/>
                <w:szCs w:val="21"/>
              </w:rPr>
              <w:t>协查队伍，可以由教师、实验技术人员，也可以利用有相关专业能力的社会力量</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407"/>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规章制度</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实验室安全管理制度</w:t>
            </w:r>
          </w:p>
        </w:tc>
      </w:tr>
      <w:tr w:rsidR="00F62C4C">
        <w:trPr>
          <w:trHeight w:val="585"/>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F62C4C" w:rsidRDefault="00AC25B9">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F62C4C" w:rsidRDefault="00F62C4C">
            <w:pPr>
              <w:spacing w:line="300" w:lineRule="exact"/>
              <w:rPr>
                <w:bCs/>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F62C4C" w:rsidRDefault="00AC25B9">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安全教育</w:t>
            </w:r>
            <w:r>
              <w:rPr>
                <w:b/>
                <w:kern w:val="0"/>
                <w:szCs w:val="21"/>
              </w:rPr>
              <w:t>活动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安全文化</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危险源辨识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房间须建立自检自查台账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rsidR="00F62C4C" w:rsidRDefault="00F62C4C">
            <w:pPr>
              <w:pStyle w:val="a6"/>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4</w:t>
            </w:r>
            <w:r>
              <w:rPr>
                <w:kern w:val="0"/>
                <w:szCs w:val="21"/>
              </w:rPr>
              <w:t>.2.5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安全隐患整改</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安全报告</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场所</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w:t>
            </w:r>
            <w:r>
              <w:rPr>
                <w:rFonts w:hint="eastAsia"/>
                <w:b/>
                <w:kern w:val="0"/>
                <w:szCs w:val="21"/>
              </w:rPr>
              <w:t>环境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米；理工农医类实验室内多人同时进行实验时，人均操作面积不小于</w:t>
            </w:r>
            <w:r>
              <w:rPr>
                <w:rFonts w:hint="eastAsia"/>
                <w:szCs w:val="21"/>
              </w:rPr>
              <w:t>2.5</w:t>
            </w:r>
            <w:r>
              <w:rPr>
                <w:rFonts w:hint="eastAsia"/>
                <w:szCs w:val="21"/>
              </w:rPr>
              <w:t>平方米</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F62C4C" w:rsidRDefault="00AC25B9">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rsidR="00F62C4C" w:rsidRDefault="00F62C4C">
            <w:pPr>
              <w:widowControl/>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5.1.6</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lastRenderedPageBreak/>
              <w:t>70</w:t>
            </w:r>
            <w:r>
              <w:rPr>
                <w:rFonts w:hint="eastAsia"/>
                <w:szCs w:val="21"/>
              </w:rPr>
              <w:t>分贝）</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kern w:val="0"/>
                <w:szCs w:val="21"/>
              </w:rPr>
            </w:pPr>
            <w:r>
              <w:rPr>
                <w:rFonts w:eastAsia="等线"/>
                <w:szCs w:val="21"/>
              </w:rPr>
              <w:lastRenderedPageBreak/>
              <w:t>5.1.7</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卫生与</w:t>
            </w:r>
            <w:r>
              <w:rPr>
                <w:rFonts w:hint="eastAsia"/>
                <w:b/>
                <w:kern w:val="0"/>
                <w:szCs w:val="21"/>
              </w:rPr>
              <w:t>日常管理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场所其它安全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安全设施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消防设施</w:t>
            </w: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F62C4C" w:rsidRDefault="00AC25B9">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师生应熟悉紧急疏散路线及火场逃生注意事项</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6.2.1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有显著标识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通风系统</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F62C4C" w:rsidRDefault="00F62C4C">
            <w:pPr>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通风柜配置合理、使用正常、操作合规</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hint="eastAsia"/>
                <w:b/>
                <w:kern w:val="0"/>
                <w:szCs w:val="21"/>
              </w:rPr>
              <w:t>门禁监控</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szCs w:val="21"/>
              </w:rPr>
            </w:pPr>
            <w:r>
              <w:rPr>
                <w:rFonts w:ascii="宋体" w:hAnsi="宋体" w:hint="eastAsia"/>
                <w:b/>
                <w:szCs w:val="21"/>
              </w:rPr>
              <w:t>实验室防爆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6.5.2</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基础</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F62C4C" w:rsidRDefault="00AC25B9">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个人</w:t>
            </w:r>
            <w:r>
              <w:rPr>
                <w:b/>
                <w:kern w:val="0"/>
                <w:szCs w:val="21"/>
              </w:rPr>
              <w:t>防护</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lastRenderedPageBreak/>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危险化学品购置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F62C4C" w:rsidRDefault="00AC25B9">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F62C4C" w:rsidRDefault="00AC25B9">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F62C4C" w:rsidRDefault="00AC25B9">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F62C4C" w:rsidRDefault="00AC25B9">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F62C4C" w:rsidRDefault="00AC25B9">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F62C4C" w:rsidRDefault="00AC25B9">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lastRenderedPageBreak/>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lastRenderedPageBreak/>
              <w:t>8.3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操作安全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543"/>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F62C4C" w:rsidRDefault="00AC25B9">
            <w:pPr>
              <w:spacing w:line="300" w:lineRule="exact"/>
              <w:jc w:val="left"/>
              <w:rPr>
                <w:b/>
                <w:szCs w:val="21"/>
              </w:rPr>
            </w:pPr>
            <w:r>
              <w:rPr>
                <w:rFonts w:hint="eastAsia"/>
                <w:b/>
                <w:kern w:val="0"/>
                <w:szCs w:val="21"/>
              </w:rPr>
              <w:t>管制类化学品</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实验气体管理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r>
              <w:rPr>
                <w:kern w:val="0"/>
                <w:szCs w:val="21"/>
              </w:rPr>
              <w:lastRenderedPageBreak/>
              <w:t>钢瓶台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lastRenderedPageBreak/>
              <w:t>查看</w:t>
            </w:r>
            <w:r>
              <w:rPr>
                <w:bCs/>
                <w:kern w:val="0"/>
                <w:szCs w:val="21"/>
              </w:rPr>
              <w:t>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F62C4C" w:rsidRDefault="00AC25B9">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rsidR="00F62C4C" w:rsidRDefault="00AC25B9">
            <w:pPr>
              <w:rPr>
                <w:rFonts w:ascii="宋体" w:cs="宋体"/>
                <w:kern w:val="0"/>
                <w:szCs w:val="21"/>
              </w:rPr>
            </w:pPr>
            <w:r>
              <w:rPr>
                <w:rFonts w:ascii="宋体" w:cs="宋体" w:hint="eastAsia"/>
                <w:kern w:val="0"/>
                <w:szCs w:val="21"/>
              </w:rPr>
              <w:t>危险气体钢瓶尽量置于室外，室内放置应使用常时排风且带报警探头的气瓶柜；</w:t>
            </w:r>
          </w:p>
          <w:p w:rsidR="00F62C4C" w:rsidRDefault="00AC25B9">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F62C4C" w:rsidRDefault="00AC25B9">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化学废弃物处置</w:t>
            </w:r>
            <w:r>
              <w:rPr>
                <w:rFonts w:hint="eastAsia"/>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委托有危险废物处置资质的专业厂家集中处置化学废弃物；校外转运之前，贮存站必须妥善管理实验室危险废物，采取有效措施，防止废物的扩散、流失、渗漏</w:t>
            </w:r>
            <w:r>
              <w:rPr>
                <w:rFonts w:ascii="宋体" w:cs="宋体" w:hint="eastAsia"/>
                <w:kern w:val="0"/>
                <w:szCs w:val="21"/>
              </w:rPr>
              <w:lastRenderedPageBreak/>
              <w:t>或者产生交叉污染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8.6.</w:t>
            </w:r>
            <w:r>
              <w:rPr>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F62C4C">
            <w:pPr>
              <w:widowControl/>
              <w:spacing w:line="300" w:lineRule="exact"/>
              <w:jc w:val="left"/>
              <w:rPr>
                <w:kern w:val="0"/>
                <w:szCs w:val="21"/>
              </w:rPr>
            </w:pPr>
          </w:p>
        </w:tc>
        <w:tc>
          <w:tcPr>
            <w:tcW w:w="3820" w:type="dxa"/>
            <w:tcMar>
              <w:left w:w="45" w:type="dxa"/>
              <w:right w:w="45" w:type="dxa"/>
            </w:tcMar>
            <w:vAlign w:val="center"/>
          </w:tcPr>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F62C4C">
            <w:pPr>
              <w:widowControl/>
              <w:spacing w:line="300" w:lineRule="exact"/>
              <w:jc w:val="left"/>
              <w:rPr>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F62C4C" w:rsidRDefault="00AC25B9">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kern w:val="0"/>
                <w:szCs w:val="21"/>
              </w:rPr>
              <w:t>不混放、整箱试剂的叠加高度不大于</w:t>
            </w:r>
            <w:r>
              <w:rPr>
                <w:kern w:val="0"/>
                <w:szCs w:val="21"/>
              </w:rPr>
              <w:t>1.5</w:t>
            </w:r>
            <w:r>
              <w:rPr>
                <w:kern w:val="0"/>
                <w:szCs w:val="21"/>
              </w:rPr>
              <w:t>米；贮存站</w:t>
            </w:r>
            <w:r>
              <w:rPr>
                <w:rFonts w:hint="eastAsia"/>
                <w:kern w:val="0"/>
                <w:szCs w:val="21"/>
              </w:rPr>
              <w:t>不能在</w:t>
            </w:r>
            <w:r>
              <w:rPr>
                <w:kern w:val="0"/>
                <w:szCs w:val="21"/>
              </w:rPr>
              <w:t>地下室空间</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其它化学安全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生物安全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实验室资质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9.1.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场所与设施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F62C4C" w:rsidRDefault="00AC25B9">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病原微生物采购与保管</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人员</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操作与管理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9.5.1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F62C4C" w:rsidRDefault="00AC25B9">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2829" w:type="dxa"/>
            <w:tcMar>
              <w:left w:w="45" w:type="dxa"/>
              <w:right w:w="45" w:type="dxa"/>
            </w:tcMar>
            <w:vAlign w:val="center"/>
          </w:tcPr>
          <w:p w:rsidR="00F62C4C" w:rsidRDefault="00F62C4C">
            <w:pPr>
              <w:pStyle w:val="24"/>
              <w:spacing w:line="360" w:lineRule="auto"/>
              <w:ind w:firstLineChars="0" w:firstLine="0"/>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实验动物安全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F62C4C" w:rsidRDefault="00AC25B9">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生物实验废物处置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rsidR="00F62C4C" w:rsidRDefault="00AC25B9">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rsidR="00F62C4C" w:rsidRDefault="00AC25B9">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辐射安全</w:t>
            </w:r>
            <w:r>
              <w:rPr>
                <w:rFonts w:hint="eastAsia"/>
                <w:b/>
                <w:kern w:val="0"/>
                <w:szCs w:val="21"/>
              </w:rPr>
              <w:t>与核材料管制</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资质与人员要求</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10.1.1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rsidR="00F62C4C" w:rsidRDefault="00F62C4C">
            <w:pPr>
              <w:spacing w:line="360" w:lineRule="auto"/>
              <w:rPr>
                <w:rFonts w:ascii="宋体" w:hAnsi="宋体"/>
                <w:sz w:val="24"/>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1" w:name="_Hlk67117721"/>
            <w:r>
              <w:rPr>
                <w:rFonts w:hint="eastAsia"/>
                <w:kern w:val="0"/>
                <w:szCs w:val="21"/>
              </w:rPr>
              <w:t>或者《生态环境部辐射安全与防护考核通过报告单</w:t>
            </w:r>
            <w:bookmarkEnd w:id="1"/>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场所设施</w:t>
            </w:r>
            <w:r>
              <w:rPr>
                <w:rFonts w:hint="eastAsia"/>
                <w:b/>
                <w:kern w:val="0"/>
                <w:szCs w:val="21"/>
              </w:rPr>
              <w:t>与采购运输</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2" w:name="_Hlk67119357"/>
            <w:r>
              <w:rPr>
                <w:rFonts w:hint="eastAsia"/>
                <w:kern w:val="0"/>
                <w:szCs w:val="21"/>
              </w:rPr>
              <w:t>查看辐射事故应急预案</w:t>
            </w:r>
            <w:bookmarkEnd w:id="2"/>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w:t>
            </w:r>
            <w:r>
              <w:rPr>
                <w:kern w:val="0"/>
                <w:szCs w:val="21"/>
              </w:rPr>
              <w:lastRenderedPageBreak/>
              <w:t>须按国家相关规定</w:t>
            </w:r>
            <w:r>
              <w:rPr>
                <w:rFonts w:hint="eastAsia"/>
                <w:kern w:val="0"/>
                <w:szCs w:val="21"/>
              </w:rPr>
              <w:t>执行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rsidR="00F62C4C" w:rsidRDefault="00AC25B9">
            <w:pPr>
              <w:widowControl/>
              <w:spacing w:line="300" w:lineRule="exact"/>
              <w:jc w:val="left"/>
              <w:rPr>
                <w:kern w:val="0"/>
                <w:szCs w:val="21"/>
              </w:rPr>
            </w:pPr>
            <w:bookmarkStart w:id="3" w:name="_Hlk67118907"/>
            <w:r>
              <w:rPr>
                <w:rFonts w:hint="eastAsia"/>
                <w:kern w:val="0"/>
                <w:szCs w:val="21"/>
              </w:rPr>
              <w:t>相关实验室应当配置专门的放射性废物收集桶；放射性废液送贮前应进行固化整备；放射性废物应及时送交城市放废库收贮</w:t>
            </w:r>
            <w:bookmarkEnd w:id="3"/>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机电等</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仪器设备</w:t>
            </w:r>
            <w:r>
              <w:rPr>
                <w:b/>
                <w:kern w:val="0"/>
                <w:szCs w:val="21"/>
              </w:rPr>
              <w:t>常规管理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F62C4C" w:rsidRDefault="00AC25B9">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F62C4C" w:rsidRDefault="00F62C4C">
            <w:pPr>
              <w:widowControl/>
              <w:spacing w:line="300" w:lineRule="exac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F62C4C" w:rsidRDefault="00AC25B9">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F62C4C" w:rsidRDefault="00AC25B9">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w:t>
            </w:r>
            <w:r>
              <w:rPr>
                <w:rFonts w:hint="eastAsia"/>
                <w:kern w:val="0"/>
                <w:szCs w:val="21"/>
              </w:rPr>
              <w:lastRenderedPageBreak/>
              <w:t>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szCs w:val="21"/>
              </w:rPr>
            </w:pPr>
            <w:r>
              <w:rPr>
                <w:rFonts w:hint="eastAsia"/>
                <w:kern w:val="0"/>
                <w:szCs w:val="21"/>
              </w:rPr>
              <w:lastRenderedPageBreak/>
              <w:t>11.2.4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粉尘爆炸危险场所，</w:t>
            </w:r>
            <w:r>
              <w:rPr>
                <w:rFonts w:hint="eastAsia"/>
                <w:kern w:val="0"/>
                <w:szCs w:val="21"/>
              </w:rPr>
              <w:t>应选用防爆型的电气设备</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11.5.2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F62C4C" w:rsidRDefault="00AC25B9">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起重类</w:t>
            </w:r>
            <w:r>
              <w:rPr>
                <w:b/>
                <w:kern w:val="0"/>
                <w:szCs w:val="21"/>
              </w:rPr>
              <w:t>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压力容器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F62C4C" w:rsidRDefault="00AC25B9">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7374" w:type="dxa"/>
            <w:tcMar>
              <w:left w:w="45" w:type="dxa"/>
              <w:right w:w="45" w:type="dxa"/>
            </w:tcMar>
            <w:vAlign w:val="center"/>
          </w:tcPr>
          <w:p w:rsidR="00F62C4C" w:rsidRDefault="00AC25B9">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r>
              <w:rPr>
                <w:rFonts w:hint="eastAsia"/>
                <w:kern w:val="0"/>
                <w:szCs w:val="21"/>
              </w:rPr>
              <w:t>兆帕且</w:t>
            </w:r>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widowControl/>
              <w:jc w:val="left"/>
              <w:rPr>
                <w:kern w:val="0"/>
                <w:szCs w:val="21"/>
              </w:rPr>
            </w:pPr>
            <w:r>
              <w:rPr>
                <w:rFonts w:ascii="宋体" w:hAnsi="宋体" w:hint="eastAsia"/>
                <w:kern w:val="0"/>
              </w:rPr>
              <w:t>快开门式压力容器操作人员、</w:t>
            </w:r>
            <w:r>
              <w:rPr>
                <w:rFonts w:ascii="宋体" w:hAnsi="宋体"/>
                <w:kern w:val="0"/>
              </w:rPr>
              <w:t>移动式压力容器充装</w:t>
            </w:r>
            <w:r>
              <w:rPr>
                <w:rFonts w:ascii="宋体" w:hAnsi="宋体" w:hint="eastAsia"/>
                <w:kern w:val="0"/>
              </w:rPr>
              <w:t>人员</w:t>
            </w:r>
            <w:r>
              <w:rPr>
                <w:rFonts w:ascii="宋体" w:hAnsi="宋体"/>
                <w:kern w:val="0"/>
              </w:rPr>
              <w:t>、氧舱维护保养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12.2.</w:t>
            </w:r>
            <w:r>
              <w:rPr>
                <w:rFonts w:hint="eastAsia"/>
                <w:kern w:val="0"/>
                <w:szCs w:val="21"/>
              </w:rPr>
              <w:t>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场（厂）内专用机动车辆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F62C4C" w:rsidRDefault="00AC25B9">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加热及制冷装置</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bl>
    <w:p w:rsidR="00F62C4C" w:rsidRDefault="00F62C4C" w:rsidP="00F62C4C">
      <w:pPr>
        <w:adjustRightInd w:val="0"/>
        <w:snapToGrid w:val="0"/>
        <w:spacing w:beforeLines="50" w:before="156"/>
        <w:jc w:val="left"/>
      </w:pPr>
    </w:p>
    <w:sectPr w:rsidR="00F62C4C" w:rsidSect="00F62C4C">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637" w:rsidRDefault="00FD1637" w:rsidP="00F62C4C">
      <w:r>
        <w:separator/>
      </w:r>
    </w:p>
  </w:endnote>
  <w:endnote w:type="continuationSeparator" w:id="0">
    <w:p w:rsidR="00FD1637" w:rsidRDefault="00FD1637" w:rsidP="00F6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algun Gothic Semilight"/>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C4C" w:rsidRDefault="00F62C4C">
    <w:pPr>
      <w:pStyle w:val="af2"/>
      <w:jc w:val="center"/>
    </w:pPr>
    <w:r>
      <w:fldChar w:fldCharType="begin"/>
    </w:r>
    <w:r w:rsidR="00AC25B9">
      <w:instrText>PAGE   \* MERGEFORMAT</w:instrText>
    </w:r>
    <w:r>
      <w:fldChar w:fldCharType="separate"/>
    </w:r>
    <w:r w:rsidR="00087D7B" w:rsidRPr="00087D7B">
      <w:rPr>
        <w:noProof/>
        <w:lang w:val="zh-CN"/>
      </w:rPr>
      <w:t>2</w:t>
    </w:r>
    <w:r>
      <w:fldChar w:fldCharType="end"/>
    </w:r>
  </w:p>
  <w:p w:rsidR="00F62C4C" w:rsidRDefault="00F62C4C">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637" w:rsidRDefault="00FD1637" w:rsidP="00F62C4C">
      <w:r>
        <w:separator/>
      </w:r>
    </w:p>
  </w:footnote>
  <w:footnote w:type="continuationSeparator" w:id="0">
    <w:p w:rsidR="00FD1637" w:rsidRDefault="00FD1637" w:rsidP="00F62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87D7B"/>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1637"/>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D7E87B"/>
  <w15:docId w15:val="{4E494E1D-0264-4489-8113-BCCC7BF2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nhideWhenUsed="1" w:qFormat="1"/>
    <w:lsdException w:name="Strong" w:locked="1" w:uiPriority="22" w:qFormat="1"/>
    <w:lsdException w:name="Emphasis" w:locked="1"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0"/>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0"/>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a5"/>
    <w:semiHidden/>
    <w:qFormat/>
    <w:rsid w:val="00F62C4C"/>
    <w:rPr>
      <w:rFonts w:ascii="宋体"/>
      <w:kern w:val="0"/>
      <w:sz w:val="18"/>
      <w:szCs w:val="18"/>
    </w:rPr>
  </w:style>
  <w:style w:type="paragraph" w:styleId="a6">
    <w:name w:val="annotation text"/>
    <w:basedOn w:val="a"/>
    <w:link w:val="a7"/>
    <w:qFormat/>
    <w:rsid w:val="00F62C4C"/>
    <w:pPr>
      <w:spacing w:line="460" w:lineRule="exact"/>
      <w:jc w:val="left"/>
    </w:pPr>
    <w:rPr>
      <w:rFonts w:ascii="Calibri" w:hAnsi="Calibri"/>
      <w:szCs w:val="21"/>
    </w:rPr>
  </w:style>
  <w:style w:type="paragraph" w:styleId="a8">
    <w:name w:val="Body Text"/>
    <w:basedOn w:val="a"/>
    <w:link w:val="a9"/>
    <w:qFormat/>
    <w:rsid w:val="00F62C4C"/>
    <w:pPr>
      <w:spacing w:line="380" w:lineRule="exact"/>
    </w:pPr>
    <w:rPr>
      <w:rFonts w:eastAsia="仿宋_GB2312"/>
      <w:sz w:val="28"/>
      <w:szCs w:val="20"/>
    </w:rPr>
  </w:style>
  <w:style w:type="paragraph" w:styleId="aa">
    <w:name w:val="Body Text Indent"/>
    <w:basedOn w:val="a"/>
    <w:link w:val="ab"/>
    <w:qFormat/>
    <w:rsid w:val="00F62C4C"/>
    <w:pPr>
      <w:spacing w:line="460" w:lineRule="exact"/>
      <w:ind w:firstLine="630"/>
    </w:pPr>
    <w:rPr>
      <w:rFonts w:ascii="仿宋_GB2312" w:eastAsia="仿宋_GB2312"/>
      <w:sz w:val="32"/>
      <w:szCs w:val="20"/>
    </w:rPr>
  </w:style>
  <w:style w:type="paragraph" w:styleId="ac">
    <w:name w:val="Plain Text"/>
    <w:basedOn w:val="a"/>
    <w:link w:val="ad"/>
    <w:qFormat/>
    <w:rsid w:val="00F62C4C"/>
    <w:pPr>
      <w:spacing w:line="460" w:lineRule="exact"/>
    </w:pPr>
    <w:rPr>
      <w:rFonts w:ascii="宋体" w:hAnsi="Courier New"/>
      <w:szCs w:val="20"/>
    </w:rPr>
  </w:style>
  <w:style w:type="paragraph" w:styleId="ae">
    <w:name w:val="Date"/>
    <w:basedOn w:val="a"/>
    <w:next w:val="a"/>
    <w:link w:val="af"/>
    <w:qFormat/>
    <w:rsid w:val="00F62C4C"/>
    <w:pPr>
      <w:ind w:leftChars="2500" w:left="100"/>
    </w:pPr>
    <w:rPr>
      <w:kern w:val="0"/>
      <w:sz w:val="24"/>
    </w:rPr>
  </w:style>
  <w:style w:type="paragraph" w:styleId="21">
    <w:name w:val="Body Text Indent 2"/>
    <w:basedOn w:val="a"/>
    <w:link w:val="22"/>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sid w:val="00F62C4C"/>
    <w:rPr>
      <w:kern w:val="0"/>
      <w:sz w:val="18"/>
      <w:szCs w:val="18"/>
    </w:rPr>
  </w:style>
  <w:style w:type="paragraph" w:styleId="af2">
    <w:name w:val="footer"/>
    <w:basedOn w:val="a"/>
    <w:link w:val="af3"/>
    <w:uiPriority w:val="99"/>
    <w:qFormat/>
    <w:rsid w:val="00F62C4C"/>
    <w:pPr>
      <w:tabs>
        <w:tab w:val="center" w:pos="4153"/>
        <w:tab w:val="right" w:pos="8306"/>
      </w:tabs>
      <w:snapToGrid w:val="0"/>
      <w:jc w:val="left"/>
    </w:pPr>
    <w:rPr>
      <w:kern w:val="0"/>
      <w:sz w:val="18"/>
      <w:szCs w:val="18"/>
    </w:rPr>
  </w:style>
  <w:style w:type="paragraph" w:styleId="af4">
    <w:name w:val="header"/>
    <w:basedOn w:val="a"/>
    <w:link w:val="af5"/>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rsid w:val="00F62C4C"/>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sid w:val="00F62C4C"/>
    <w:rPr>
      <w:b/>
      <w:bCs/>
    </w:rPr>
  </w:style>
  <w:style w:type="table" w:styleId="af9">
    <w:name w:val="Table Grid"/>
    <w:basedOn w:val="a1"/>
    <w:qFormat/>
    <w:rsid w:val="00F62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sid w:val="00F62C4C"/>
    <w:rPr>
      <w:b/>
      <w:bCs/>
    </w:rPr>
  </w:style>
  <w:style w:type="character" w:styleId="afb">
    <w:name w:val="page number"/>
    <w:qFormat/>
    <w:rsid w:val="00F62C4C"/>
    <w:rPr>
      <w:rFonts w:cs="Times New Roman"/>
    </w:rPr>
  </w:style>
  <w:style w:type="character" w:styleId="afc">
    <w:name w:val="FollowedHyperlink"/>
    <w:qFormat/>
    <w:rsid w:val="00F62C4C"/>
    <w:rPr>
      <w:rFonts w:cs="Times New Roman"/>
      <w:color w:val="800080"/>
      <w:u w:val="single"/>
    </w:rPr>
  </w:style>
  <w:style w:type="character" w:styleId="afd">
    <w:name w:val="Hyperlink"/>
    <w:qFormat/>
    <w:rsid w:val="00F62C4C"/>
    <w:rPr>
      <w:rFonts w:cs="Times New Roman"/>
      <w:color w:val="1B227E"/>
      <w:u w:val="none"/>
    </w:rPr>
  </w:style>
  <w:style w:type="character" w:styleId="afe">
    <w:name w:val="annotation reference"/>
    <w:semiHidden/>
    <w:qFormat/>
    <w:rsid w:val="00F62C4C"/>
    <w:rPr>
      <w:rFonts w:cs="Times New Roman"/>
      <w:sz w:val="21"/>
      <w:szCs w:val="21"/>
    </w:rPr>
  </w:style>
  <w:style w:type="character" w:styleId="aff">
    <w:name w:val="footnote reference"/>
    <w:semiHidden/>
    <w:qFormat/>
    <w:rsid w:val="00F62C4C"/>
    <w:rPr>
      <w:rFonts w:cs="Times New Roman"/>
      <w:vertAlign w:val="superscript"/>
    </w:rPr>
  </w:style>
  <w:style w:type="paragraph" w:customStyle="1" w:styleId="aff0">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sid w:val="00F62C4C"/>
    <w:rPr>
      <w:kern w:val="2"/>
      <w:sz w:val="21"/>
      <w:szCs w:val="24"/>
    </w:rPr>
  </w:style>
  <w:style w:type="paragraph" w:customStyle="1" w:styleId="aff1">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rsid w:val="00F62C4C"/>
    <w:pPr>
      <w:ind w:firstLineChars="200" w:firstLine="420"/>
    </w:pPr>
  </w:style>
  <w:style w:type="paragraph" w:customStyle="1" w:styleId="aff2">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sid w:val="00F62C4C"/>
    <w:rPr>
      <w:rFonts w:cs="Times New Roman"/>
      <w:b/>
      <w:bCs/>
      <w:kern w:val="44"/>
      <w:sz w:val="44"/>
      <w:szCs w:val="44"/>
    </w:rPr>
  </w:style>
  <w:style w:type="character" w:customStyle="1" w:styleId="ab">
    <w:name w:val="正文文本缩进 字符"/>
    <w:link w:val="aa"/>
    <w:qFormat/>
    <w:locked/>
    <w:rsid w:val="00F62C4C"/>
    <w:rPr>
      <w:rFonts w:ascii="仿宋_GB2312" w:eastAsia="仿宋_GB2312" w:cs="Times New Roman"/>
      <w:kern w:val="2"/>
      <w:sz w:val="32"/>
    </w:rPr>
  </w:style>
  <w:style w:type="character" w:customStyle="1" w:styleId="20">
    <w:name w:val="标题 2 字符"/>
    <w:link w:val="2"/>
    <w:qFormat/>
    <w:locked/>
    <w:rsid w:val="00F62C4C"/>
    <w:rPr>
      <w:rFonts w:ascii="宋体" w:eastAsia="宋体" w:cs="Times New Roman"/>
      <w:b/>
      <w:bCs/>
      <w:sz w:val="36"/>
      <w:szCs w:val="36"/>
    </w:rPr>
  </w:style>
  <w:style w:type="character" w:customStyle="1" w:styleId="30">
    <w:name w:val="正文文本缩进 3 字符"/>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2">
    <w:name w:val="正文文本缩进 2 字符"/>
    <w:link w:val="21"/>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ad">
    <w:name w:val="纯文本 字符"/>
    <w:link w:val="ac"/>
    <w:qFormat/>
    <w:locked/>
    <w:rsid w:val="00F62C4C"/>
    <w:rPr>
      <w:rFonts w:ascii="宋体" w:hAnsi="Courier New" w:cs="Times New Roman"/>
      <w:kern w:val="2"/>
      <w:sz w:val="21"/>
    </w:rPr>
  </w:style>
  <w:style w:type="character" w:customStyle="1" w:styleId="a7">
    <w:name w:val="批注文字 字符"/>
    <w:link w:val="a6"/>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af5">
    <w:name w:val="页眉 字符"/>
    <w:link w:val="af4"/>
    <w:qFormat/>
    <w:locked/>
    <w:rsid w:val="00F62C4C"/>
    <w:rPr>
      <w:rFonts w:cs="Times New Roman"/>
      <w:sz w:val="18"/>
      <w:szCs w:val="18"/>
    </w:rPr>
  </w:style>
  <w:style w:type="character" w:customStyle="1" w:styleId="af">
    <w:name w:val="日期 字符"/>
    <w:link w:val="ae"/>
    <w:qFormat/>
    <w:locked/>
    <w:rsid w:val="00F62C4C"/>
    <w:rPr>
      <w:rFonts w:cs="Times New Roman"/>
      <w:sz w:val="24"/>
      <w:szCs w:val="24"/>
    </w:rPr>
  </w:style>
  <w:style w:type="character" w:customStyle="1" w:styleId="a9">
    <w:name w:val="正文文本 字符"/>
    <w:link w:val="a8"/>
    <w:qFormat/>
    <w:locked/>
    <w:rsid w:val="00F62C4C"/>
    <w:rPr>
      <w:rFonts w:eastAsia="仿宋_GB2312" w:cs="Times New Roman"/>
      <w:kern w:val="2"/>
      <w:sz w:val="28"/>
    </w:rPr>
  </w:style>
  <w:style w:type="character" w:customStyle="1" w:styleId="af3">
    <w:name w:val="页脚 字符"/>
    <w:link w:val="af2"/>
    <w:uiPriority w:val="99"/>
    <w:qFormat/>
    <w:locked/>
    <w:rsid w:val="00F62C4C"/>
    <w:rPr>
      <w:rFonts w:cs="Times New Roman"/>
      <w:sz w:val="18"/>
      <w:szCs w:val="18"/>
    </w:rPr>
  </w:style>
  <w:style w:type="character" w:customStyle="1" w:styleId="a5">
    <w:name w:val="文档结构图 字符"/>
    <w:link w:val="a4"/>
    <w:qFormat/>
    <w:locked/>
    <w:rsid w:val="00F62C4C"/>
    <w:rPr>
      <w:rFonts w:ascii="宋体" w:cs="Times New Roman"/>
      <w:sz w:val="18"/>
      <w:szCs w:val="18"/>
    </w:rPr>
  </w:style>
  <w:style w:type="character" w:customStyle="1" w:styleId="af8">
    <w:name w:val="批注主题 字符"/>
    <w:link w:val="af7"/>
    <w:semiHidden/>
    <w:qFormat/>
    <w:locked/>
    <w:rsid w:val="00F62C4C"/>
    <w:rPr>
      <w:rFonts w:ascii="Calibri" w:hAnsi="Calibri" w:cs="Calibri"/>
      <w:b/>
      <w:bCs/>
      <w:kern w:val="2"/>
      <w:sz w:val="21"/>
      <w:szCs w:val="21"/>
    </w:rPr>
  </w:style>
  <w:style w:type="character" w:customStyle="1" w:styleId="af1">
    <w:name w:val="批注框文本 字符"/>
    <w:link w:val="af0"/>
    <w:qFormat/>
    <w:locked/>
    <w:rsid w:val="00F62C4C"/>
    <w:rPr>
      <w:rFonts w:cs="Times New Roman"/>
      <w:sz w:val="18"/>
      <w:szCs w:val="18"/>
    </w:rPr>
  </w:style>
  <w:style w:type="paragraph" w:customStyle="1" w:styleId="13">
    <w:name w:val="正文1"/>
    <w:qFormat/>
    <w:rsid w:val="00F62C4C"/>
    <w:pPr>
      <w:jc w:val="both"/>
    </w:pPr>
    <w:rPr>
      <w:kern w:val="2"/>
      <w:sz w:val="21"/>
      <w:szCs w:val="21"/>
    </w:rPr>
  </w:style>
  <w:style w:type="paragraph" w:customStyle="1" w:styleId="24">
    <w:name w:val="列出段落2"/>
    <w:basedOn w:val="a"/>
    <w:qFormat/>
    <w:rsid w:val="00F62C4C"/>
    <w:pPr>
      <w:ind w:firstLineChars="200" w:firstLine="420"/>
    </w:pPr>
    <w:rPr>
      <w:rFonts w:ascii="等线" w:eastAsia="等线" w:hAnsi="等线"/>
      <w:szCs w:val="21"/>
    </w:rPr>
  </w:style>
  <w:style w:type="paragraph" w:styleId="aff4">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2375</Words>
  <Characters>13541</Characters>
  <Application>Microsoft Office Word</Application>
  <DocSecurity>0</DocSecurity>
  <Lines>112</Lines>
  <Paragraphs>31</Paragraphs>
  <ScaleCrop>false</ScaleCrop>
  <Company>sdu</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USER</cp:lastModifiedBy>
  <cp:revision>2</cp:revision>
  <cp:lastPrinted>2021-03-31T01:59:00Z</cp:lastPrinted>
  <dcterms:created xsi:type="dcterms:W3CDTF">2021-04-21T00:48:00Z</dcterms:created>
  <dcterms:modified xsi:type="dcterms:W3CDTF">2021-04-25T00:18:00Z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